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FF3C4" w14:textId="30EE8883" w:rsidR="00F176F3" w:rsidRPr="006A16A2" w:rsidRDefault="00F176F3">
      <w:pPr>
        <w:rPr>
          <w:rFonts w:ascii="Times New Roman" w:hAnsi="Times New Roman" w:cs="Times New Roman"/>
          <w:color w:val="323130"/>
          <w:sz w:val="24"/>
          <w:szCs w:val="24"/>
        </w:rPr>
      </w:pPr>
      <w:r w:rsidRPr="00F37D65">
        <w:rPr>
          <w:rFonts w:ascii="Times New Roman" w:hAnsi="Times New Roman" w:cs="Times New Roman"/>
          <w:b/>
          <w:bCs/>
          <w:color w:val="323130"/>
          <w:sz w:val="24"/>
          <w:szCs w:val="24"/>
          <w:u w:val="single"/>
        </w:rPr>
        <w:t>Reviewer #1</w:t>
      </w:r>
      <w:r w:rsidRPr="006A16A2">
        <w:rPr>
          <w:rFonts w:ascii="Times New Roman" w:hAnsi="Times New Roman" w:cs="Times New Roman"/>
          <w:color w:val="323130"/>
          <w:sz w:val="24"/>
          <w:szCs w:val="24"/>
        </w:rPr>
        <w:br/>
      </w:r>
      <w:r w:rsidRPr="006A16A2">
        <w:rPr>
          <w:rFonts w:ascii="Times New Roman" w:hAnsi="Times New Roman" w:cs="Times New Roman"/>
          <w:color w:val="323130"/>
          <w:sz w:val="24"/>
          <w:szCs w:val="24"/>
        </w:rPr>
        <w:br/>
        <w:t>1. Introduction, first paragraph: Replace "oxidization" with "oxidation"</w:t>
      </w:r>
    </w:p>
    <w:p w14:paraId="3D4D7690" w14:textId="3F39648B" w:rsidR="000232EB" w:rsidRPr="006A16A2" w:rsidRDefault="00497A68" w:rsidP="000232EB">
      <w:pPr>
        <w:pStyle w:val="ListParagraph"/>
        <w:numPr>
          <w:ilvl w:val="0"/>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 xml:space="preserve">Thank you for catching the typo. </w:t>
      </w:r>
      <w:r w:rsidR="00F176F3" w:rsidRPr="006A16A2">
        <w:rPr>
          <w:rFonts w:ascii="Times New Roman" w:hAnsi="Times New Roman" w:cs="Times New Roman"/>
          <w:color w:val="323130"/>
          <w:sz w:val="24"/>
          <w:szCs w:val="24"/>
        </w:rPr>
        <w:t xml:space="preserve">We have corrected </w:t>
      </w:r>
      <w:r w:rsidRPr="006A16A2">
        <w:rPr>
          <w:rFonts w:ascii="Times New Roman" w:hAnsi="Times New Roman" w:cs="Times New Roman"/>
          <w:color w:val="323130"/>
          <w:sz w:val="24"/>
          <w:szCs w:val="24"/>
        </w:rPr>
        <w:t>it</w:t>
      </w:r>
      <w:r w:rsidR="00F176F3" w:rsidRPr="006A16A2">
        <w:rPr>
          <w:rFonts w:ascii="Times New Roman" w:hAnsi="Times New Roman" w:cs="Times New Roman"/>
          <w:color w:val="323130"/>
          <w:sz w:val="24"/>
          <w:szCs w:val="24"/>
        </w:rPr>
        <w:t xml:space="preserve">. </w:t>
      </w:r>
    </w:p>
    <w:p w14:paraId="788A5CA3" w14:textId="77777777" w:rsidR="00C01D57" w:rsidRDefault="00F176F3" w:rsidP="000232EB">
      <w:pPr>
        <w:rPr>
          <w:rFonts w:ascii="Times New Roman" w:hAnsi="Times New Roman" w:cs="Times New Roman"/>
          <w:color w:val="323130"/>
          <w:sz w:val="24"/>
          <w:szCs w:val="24"/>
        </w:rPr>
      </w:pPr>
      <w:r w:rsidRPr="006A16A2">
        <w:rPr>
          <w:rFonts w:ascii="Times New Roman" w:hAnsi="Times New Roman" w:cs="Times New Roman"/>
          <w:color w:val="323130"/>
          <w:sz w:val="24"/>
          <w:szCs w:val="24"/>
        </w:rPr>
        <w:t xml:space="preserve">2. Page 6, first paragraph and Figure 2. "WB" is </w:t>
      </w:r>
      <w:proofErr w:type="gramStart"/>
      <w:r w:rsidRPr="006A16A2">
        <w:rPr>
          <w:rFonts w:ascii="Times New Roman" w:hAnsi="Times New Roman" w:cs="Times New Roman"/>
          <w:color w:val="323130"/>
          <w:sz w:val="24"/>
          <w:szCs w:val="24"/>
        </w:rPr>
        <w:t>undefined</w:t>
      </w:r>
      <w:proofErr w:type="gramEnd"/>
      <w:r w:rsidRPr="006A16A2">
        <w:rPr>
          <w:rFonts w:ascii="Times New Roman" w:hAnsi="Times New Roman" w:cs="Times New Roman"/>
          <w:color w:val="323130"/>
          <w:sz w:val="24"/>
          <w:szCs w:val="24"/>
        </w:rPr>
        <w:t xml:space="preserve"> and I could not find a reference to this abbreviation in the text. There is no elaboration on the relevance of "WB" in the Results that accompany Figure 2. The paper needs a summary of abbreviations. </w:t>
      </w:r>
    </w:p>
    <w:p w14:paraId="0F2B1EEB" w14:textId="775E945F" w:rsidR="00F176F3" w:rsidRPr="00C01D57" w:rsidRDefault="00C01D57" w:rsidP="00C01D57">
      <w:pPr>
        <w:pStyle w:val="ListParagraph"/>
        <w:numPr>
          <w:ilvl w:val="0"/>
          <w:numId w:val="1"/>
        </w:numPr>
        <w:rPr>
          <w:rFonts w:ascii="Times New Roman" w:hAnsi="Times New Roman" w:cs="Times New Roman"/>
          <w:color w:val="323130"/>
          <w:sz w:val="24"/>
          <w:szCs w:val="24"/>
        </w:rPr>
      </w:pPr>
      <w:r w:rsidRPr="00C01D57">
        <w:rPr>
          <w:rFonts w:ascii="Times New Roman" w:hAnsi="Times New Roman" w:cs="Times New Roman"/>
          <w:color w:val="323130"/>
          <w:sz w:val="24"/>
          <w:szCs w:val="24"/>
        </w:rPr>
        <w:t xml:space="preserve">We apologize for the confusion. WB stands for Wurster’s blue, which is </w:t>
      </w:r>
      <w:r>
        <w:rPr>
          <w:rFonts w:ascii="Times New Roman" w:hAnsi="Times New Roman" w:cs="Times New Roman"/>
          <w:color w:val="323130"/>
          <w:sz w:val="24"/>
          <w:szCs w:val="24"/>
        </w:rPr>
        <w:t>the</w:t>
      </w:r>
      <w:r w:rsidRPr="00C01D57">
        <w:rPr>
          <w:rFonts w:ascii="Times New Roman" w:hAnsi="Times New Roman" w:cs="Times New Roman"/>
          <w:color w:val="323130"/>
          <w:sz w:val="24"/>
          <w:szCs w:val="24"/>
        </w:rPr>
        <w:t xml:space="preserve"> common name for TMPD (tetramethyl-p-phenylenediamine). For consistency, we have replaced WB with TMPD in Figs. 2C &amp; 2D. We also included the full name</w:t>
      </w:r>
      <w:r>
        <w:rPr>
          <w:rFonts w:ascii="Times New Roman" w:hAnsi="Times New Roman" w:cs="Times New Roman"/>
          <w:color w:val="323130"/>
          <w:sz w:val="24"/>
          <w:szCs w:val="24"/>
        </w:rPr>
        <w:t>s</w:t>
      </w:r>
      <w:r w:rsidRPr="00C01D57">
        <w:rPr>
          <w:rFonts w:ascii="Times New Roman" w:hAnsi="Times New Roman" w:cs="Times New Roman"/>
          <w:color w:val="323130"/>
          <w:sz w:val="24"/>
          <w:szCs w:val="24"/>
        </w:rPr>
        <w:t xml:space="preserve"> of TMPD and PMS in the figure legend. </w:t>
      </w:r>
      <w:r w:rsidR="00F176F3" w:rsidRPr="00C01D57">
        <w:rPr>
          <w:rFonts w:ascii="Times New Roman" w:hAnsi="Times New Roman" w:cs="Times New Roman"/>
          <w:color w:val="323130"/>
          <w:sz w:val="24"/>
          <w:szCs w:val="24"/>
        </w:rPr>
        <w:br/>
      </w:r>
      <w:r w:rsidR="00F176F3" w:rsidRPr="00C01D57">
        <w:rPr>
          <w:rFonts w:ascii="Times New Roman" w:hAnsi="Times New Roman" w:cs="Times New Roman"/>
          <w:color w:val="323130"/>
          <w:sz w:val="24"/>
          <w:szCs w:val="24"/>
        </w:rPr>
        <w:br/>
        <w:t xml:space="preserve">3. Figure 3 &amp; Page 6 Final paragraph. It is stated that oxaloacetate is the most potent SDH inhibitor, though Figure 3 appears to support that both malate and malonate are more potent. </w:t>
      </w:r>
    </w:p>
    <w:p w14:paraId="4AA46212" w14:textId="4963C925" w:rsidR="000232EB" w:rsidRPr="006A16A2" w:rsidRDefault="00F176F3" w:rsidP="000232EB">
      <w:pPr>
        <w:pStyle w:val="ListParagraph"/>
        <w:numPr>
          <w:ilvl w:val="0"/>
          <w:numId w:val="1"/>
        </w:numPr>
        <w:rPr>
          <w:rFonts w:ascii="Times New Roman" w:hAnsi="Times New Roman" w:cs="Times New Roman"/>
          <w:sz w:val="24"/>
          <w:szCs w:val="24"/>
        </w:rPr>
      </w:pPr>
      <w:r w:rsidRPr="006A16A2">
        <w:rPr>
          <w:rFonts w:ascii="Times New Roman" w:hAnsi="Times New Roman" w:cs="Times New Roman"/>
          <w:color w:val="323130"/>
          <w:sz w:val="24"/>
          <w:szCs w:val="24"/>
        </w:rPr>
        <w:t xml:space="preserve">Malonate and malate are less potent than oxaloacetate because they achieve the same inhibitory effects at higher levels. For example, succinate oxidase activity is reduced by half in the presence of ~1 µM oxaloacetate, but ~200 µM (0.2 mM) malonate and </w:t>
      </w:r>
      <w:r w:rsidR="00497A68" w:rsidRPr="006A16A2">
        <w:rPr>
          <w:rFonts w:ascii="Times New Roman" w:hAnsi="Times New Roman" w:cs="Times New Roman"/>
          <w:color w:val="323130"/>
          <w:sz w:val="24"/>
          <w:szCs w:val="24"/>
        </w:rPr>
        <w:t>~</w:t>
      </w:r>
      <w:r w:rsidRPr="006A16A2">
        <w:rPr>
          <w:rFonts w:ascii="Times New Roman" w:hAnsi="Times New Roman" w:cs="Times New Roman"/>
          <w:color w:val="323130"/>
          <w:sz w:val="24"/>
          <w:szCs w:val="24"/>
        </w:rPr>
        <w:t xml:space="preserve">400 µM (0.4 mM) malate are necessary to achieve the same effect. </w:t>
      </w:r>
    </w:p>
    <w:p w14:paraId="676225F1" w14:textId="77777777" w:rsidR="000232EB" w:rsidRPr="006A16A2" w:rsidRDefault="00F176F3" w:rsidP="000232EB">
      <w:pPr>
        <w:rPr>
          <w:rFonts w:ascii="Times New Roman" w:hAnsi="Times New Roman" w:cs="Times New Roman"/>
          <w:color w:val="323130"/>
          <w:sz w:val="24"/>
          <w:szCs w:val="24"/>
        </w:rPr>
      </w:pPr>
      <w:r w:rsidRPr="006A16A2">
        <w:rPr>
          <w:rFonts w:ascii="Times New Roman" w:hAnsi="Times New Roman" w:cs="Times New Roman"/>
          <w:color w:val="323130"/>
          <w:sz w:val="24"/>
          <w:szCs w:val="24"/>
        </w:rPr>
        <w:t>4. Figure 5 and accompanying text on page 7.</w:t>
      </w:r>
      <w:r w:rsidR="000232EB" w:rsidRPr="006A16A2">
        <w:rPr>
          <w:rFonts w:ascii="Times New Roman" w:hAnsi="Times New Roman" w:cs="Times New Roman"/>
          <w:color w:val="323130"/>
          <w:sz w:val="24"/>
          <w:szCs w:val="24"/>
        </w:rPr>
        <w:t xml:space="preserve"> </w:t>
      </w:r>
      <w:r w:rsidRPr="006A16A2">
        <w:rPr>
          <w:rFonts w:ascii="Times New Roman" w:hAnsi="Times New Roman" w:cs="Times New Roman"/>
          <w:color w:val="323130"/>
          <w:sz w:val="24"/>
          <w:szCs w:val="24"/>
        </w:rPr>
        <w:t xml:space="preserve">I read the paragraph that supposedly describes the results depicted in Figure 5 several times. For the most part, it </w:t>
      </w:r>
      <w:proofErr w:type="gramStart"/>
      <w:r w:rsidRPr="006A16A2">
        <w:rPr>
          <w:rFonts w:ascii="Times New Roman" w:hAnsi="Times New Roman" w:cs="Times New Roman"/>
          <w:color w:val="323130"/>
          <w:sz w:val="24"/>
          <w:szCs w:val="24"/>
        </w:rPr>
        <w:t>doesn't</w:t>
      </w:r>
      <w:proofErr w:type="gramEnd"/>
      <w:r w:rsidRPr="006A16A2">
        <w:rPr>
          <w:rFonts w:ascii="Times New Roman" w:hAnsi="Times New Roman" w:cs="Times New Roman"/>
          <w:color w:val="323130"/>
          <w:sz w:val="24"/>
          <w:szCs w:val="24"/>
        </w:rPr>
        <w:t xml:space="preserve"> appear that this text describes the data. What is th</w:t>
      </w:r>
      <w:r w:rsidR="000232EB" w:rsidRPr="006A16A2">
        <w:rPr>
          <w:rFonts w:ascii="Times New Roman" w:hAnsi="Times New Roman" w:cs="Times New Roman"/>
          <w:color w:val="323130"/>
          <w:sz w:val="24"/>
          <w:szCs w:val="24"/>
        </w:rPr>
        <w:t>e</w:t>
      </w:r>
      <w:r w:rsidRPr="006A16A2">
        <w:rPr>
          <w:rFonts w:ascii="Times New Roman" w:hAnsi="Times New Roman" w:cs="Times New Roman"/>
          <w:color w:val="323130"/>
          <w:sz w:val="24"/>
          <w:szCs w:val="24"/>
        </w:rPr>
        <w:t xml:space="preserve"> relevance of the data in Figure 5?</w:t>
      </w:r>
    </w:p>
    <w:p w14:paraId="1C35D46B" w14:textId="77777777" w:rsidR="000232EB" w:rsidRPr="006A16A2" w:rsidRDefault="000232EB" w:rsidP="000232EB">
      <w:pPr>
        <w:rPr>
          <w:rFonts w:ascii="Times New Roman" w:hAnsi="Times New Roman" w:cs="Times New Roman"/>
          <w:color w:val="323130"/>
          <w:sz w:val="24"/>
          <w:szCs w:val="24"/>
          <w:u w:val="single"/>
        </w:rPr>
      </w:pPr>
      <w:r w:rsidRPr="006A16A2">
        <w:rPr>
          <w:rFonts w:ascii="Times New Roman" w:hAnsi="Times New Roman" w:cs="Times New Roman"/>
          <w:color w:val="323130"/>
          <w:sz w:val="24"/>
          <w:szCs w:val="24"/>
          <w:u w:val="single"/>
        </w:rPr>
        <w:t>Accompanying text incompatible with the figure</w:t>
      </w:r>
    </w:p>
    <w:p w14:paraId="05E585D5" w14:textId="77777777" w:rsidR="000232EB" w:rsidRPr="006A16A2" w:rsidRDefault="000232EB" w:rsidP="00497A68">
      <w:pPr>
        <w:pStyle w:val="ListParagraph"/>
        <w:numPr>
          <w:ilvl w:val="0"/>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 xml:space="preserve">We are puzzled by this comment because the discussion in the second paragraph on page 7 specifically focuses on the succinate titration data in the presence of 250 </w:t>
      </w:r>
      <w:proofErr w:type="spellStart"/>
      <w:r w:rsidRPr="006A16A2">
        <w:rPr>
          <w:rFonts w:ascii="Times New Roman" w:hAnsi="Times New Roman" w:cs="Times New Roman"/>
          <w:color w:val="323130"/>
          <w:sz w:val="24"/>
          <w:szCs w:val="24"/>
        </w:rPr>
        <w:t>nM</w:t>
      </w:r>
      <w:proofErr w:type="spellEnd"/>
      <w:r w:rsidRPr="006A16A2">
        <w:rPr>
          <w:rFonts w:ascii="Times New Roman" w:hAnsi="Times New Roman" w:cs="Times New Roman"/>
          <w:color w:val="323130"/>
          <w:sz w:val="24"/>
          <w:szCs w:val="24"/>
        </w:rPr>
        <w:t xml:space="preserve"> atpenin under one condition and 50 µM stigmatellin under a different condition. </w:t>
      </w:r>
    </w:p>
    <w:p w14:paraId="6A7F67BE" w14:textId="77777777" w:rsidR="000232EB" w:rsidRPr="006A16A2" w:rsidRDefault="000232EB" w:rsidP="00497A68">
      <w:pPr>
        <w:pStyle w:val="ListParagraph"/>
        <w:numPr>
          <w:ilvl w:val="0"/>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 xml:space="preserve">Specifically, the paragraph </w:t>
      </w:r>
    </w:p>
    <w:p w14:paraId="2230A844" w14:textId="745539DD" w:rsidR="006A16A2" w:rsidRDefault="006A16A2" w:rsidP="00497A68">
      <w:pPr>
        <w:pStyle w:val="ListParagraph"/>
        <w:numPr>
          <w:ilvl w:val="1"/>
          <w:numId w:val="1"/>
        </w:numPr>
        <w:rPr>
          <w:rFonts w:ascii="Times New Roman" w:hAnsi="Times New Roman" w:cs="Times New Roman"/>
          <w:color w:val="323130"/>
          <w:sz w:val="24"/>
          <w:szCs w:val="24"/>
        </w:rPr>
      </w:pPr>
      <w:r>
        <w:rPr>
          <w:rFonts w:ascii="Times New Roman" w:hAnsi="Times New Roman" w:cs="Times New Roman"/>
          <w:color w:val="323130"/>
          <w:sz w:val="24"/>
          <w:szCs w:val="24"/>
        </w:rPr>
        <w:t>opens with the central theme to be discussed in the rest of the paragraph</w:t>
      </w:r>
    </w:p>
    <w:p w14:paraId="0499CFE5" w14:textId="2E5EAFE5" w:rsidR="006A16A2" w:rsidRDefault="006A16A2" w:rsidP="006A16A2">
      <w:pPr>
        <w:pStyle w:val="ListParagraph"/>
        <w:numPr>
          <w:ilvl w:val="2"/>
          <w:numId w:val="1"/>
        </w:numPr>
        <w:rPr>
          <w:rFonts w:ascii="Times New Roman" w:hAnsi="Times New Roman" w:cs="Times New Roman"/>
          <w:color w:val="323130"/>
          <w:sz w:val="24"/>
          <w:szCs w:val="24"/>
        </w:rPr>
      </w:pPr>
      <w:r>
        <w:rPr>
          <w:rFonts w:ascii="Times New Roman" w:hAnsi="Times New Roman" w:cs="Times New Roman"/>
        </w:rPr>
        <w:t>“</w:t>
      </w:r>
      <w:r w:rsidRPr="00DE0D28">
        <w:rPr>
          <w:rFonts w:ascii="Times New Roman" w:hAnsi="Times New Roman" w:cs="Times New Roman"/>
        </w:rPr>
        <w:t>The difference in total and site-specific ROS production rates in the presence of stigmatellin or atpenin as the succinate concentration is increased is shown in Fig. 5.</w:t>
      </w:r>
      <w:r>
        <w:rPr>
          <w:rFonts w:ascii="Times New Roman" w:hAnsi="Times New Roman" w:cs="Times New Roman"/>
        </w:rPr>
        <w:t>”</w:t>
      </w:r>
    </w:p>
    <w:p w14:paraId="33651C46" w14:textId="5BDC0174" w:rsidR="000232EB" w:rsidRPr="006A16A2" w:rsidRDefault="000232EB" w:rsidP="00497A68">
      <w:pPr>
        <w:pStyle w:val="ListParagraph"/>
        <w:numPr>
          <w:ilvl w:val="1"/>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describes the mechanism of action of stigmatellin</w:t>
      </w:r>
    </w:p>
    <w:p w14:paraId="1449F87D" w14:textId="2CEF59B6" w:rsidR="000232EB" w:rsidRPr="006A16A2" w:rsidRDefault="00497A68" w:rsidP="00497A68">
      <w:pPr>
        <w:pStyle w:val="ListParagraph"/>
        <w:numPr>
          <w:ilvl w:val="2"/>
          <w:numId w:val="1"/>
        </w:numPr>
        <w:rPr>
          <w:rFonts w:ascii="Times New Roman" w:hAnsi="Times New Roman" w:cs="Times New Roman"/>
          <w:color w:val="323130"/>
          <w:sz w:val="24"/>
          <w:szCs w:val="24"/>
        </w:rPr>
      </w:pPr>
      <w:r w:rsidRPr="006A16A2">
        <w:rPr>
          <w:rFonts w:ascii="Times New Roman" w:hAnsi="Times New Roman" w:cs="Times New Roman"/>
          <w:sz w:val="24"/>
          <w:szCs w:val="24"/>
        </w:rPr>
        <w:t>“</w:t>
      </w:r>
      <w:r w:rsidR="000232EB" w:rsidRPr="006A16A2">
        <w:rPr>
          <w:rFonts w:ascii="Times New Roman" w:hAnsi="Times New Roman" w:cs="Times New Roman"/>
          <w:sz w:val="24"/>
          <w:szCs w:val="24"/>
        </w:rPr>
        <w:t>Stigmatellin competitively inhibits QH</w:t>
      </w:r>
      <w:r w:rsidR="000232EB" w:rsidRPr="006A16A2">
        <w:rPr>
          <w:rFonts w:ascii="Times New Roman" w:hAnsi="Times New Roman" w:cs="Times New Roman"/>
          <w:sz w:val="24"/>
          <w:szCs w:val="24"/>
          <w:vertAlign w:val="subscript"/>
        </w:rPr>
        <w:t>2</w:t>
      </w:r>
      <w:r w:rsidR="000232EB" w:rsidRPr="006A16A2">
        <w:rPr>
          <w:rFonts w:ascii="Times New Roman" w:hAnsi="Times New Roman" w:cs="Times New Roman"/>
          <w:sz w:val="24"/>
          <w:szCs w:val="24"/>
        </w:rPr>
        <w:t xml:space="preserve"> binding to complex III near the </w:t>
      </w:r>
      <w:proofErr w:type="spellStart"/>
      <w:r w:rsidR="000232EB" w:rsidRPr="006A16A2">
        <w:rPr>
          <w:rFonts w:ascii="Times New Roman" w:hAnsi="Times New Roman" w:cs="Times New Roman"/>
          <w:sz w:val="24"/>
          <w:szCs w:val="24"/>
        </w:rPr>
        <w:t>Rieske</w:t>
      </w:r>
      <w:proofErr w:type="spellEnd"/>
      <w:r w:rsidR="000232EB" w:rsidRPr="006A16A2">
        <w:rPr>
          <w:rFonts w:ascii="Times New Roman" w:hAnsi="Times New Roman" w:cs="Times New Roman"/>
          <w:sz w:val="24"/>
          <w:szCs w:val="24"/>
        </w:rPr>
        <w:t xml:space="preserve"> ISP site. Similar to when </w:t>
      </w:r>
      <w:proofErr w:type="spellStart"/>
      <w:r w:rsidR="000232EB" w:rsidRPr="006A16A2">
        <w:rPr>
          <w:rFonts w:ascii="Times New Roman" w:hAnsi="Times New Roman" w:cs="Times New Roman"/>
          <w:sz w:val="24"/>
          <w:szCs w:val="24"/>
        </w:rPr>
        <w:t>myxothiazol</w:t>
      </w:r>
      <w:proofErr w:type="spellEnd"/>
      <w:r w:rsidR="000232EB" w:rsidRPr="006A16A2">
        <w:rPr>
          <w:rFonts w:ascii="Times New Roman" w:hAnsi="Times New Roman" w:cs="Times New Roman"/>
          <w:sz w:val="24"/>
          <w:szCs w:val="24"/>
        </w:rPr>
        <w:t xml:space="preserve"> is present, the Q pool is fully reduced with stigmatellin, and quinol oxidation at the </w:t>
      </w:r>
      <w:proofErr w:type="spellStart"/>
      <w:r w:rsidR="000232EB" w:rsidRPr="006A16A2">
        <w:rPr>
          <w:rFonts w:ascii="Times New Roman" w:hAnsi="Times New Roman" w:cs="Times New Roman"/>
          <w:sz w:val="24"/>
          <w:szCs w:val="24"/>
        </w:rPr>
        <w:t>Q</w:t>
      </w:r>
      <w:r w:rsidR="000232EB" w:rsidRPr="006A16A2">
        <w:rPr>
          <w:rFonts w:ascii="Times New Roman" w:hAnsi="Times New Roman" w:cs="Times New Roman"/>
          <w:sz w:val="24"/>
          <w:szCs w:val="24"/>
          <w:vertAlign w:val="subscript"/>
        </w:rPr>
        <w:t>p</w:t>
      </w:r>
      <w:proofErr w:type="spellEnd"/>
      <w:r w:rsidR="000232EB" w:rsidRPr="006A16A2">
        <w:rPr>
          <w:rFonts w:ascii="Times New Roman" w:hAnsi="Times New Roman" w:cs="Times New Roman"/>
          <w:sz w:val="24"/>
          <w:szCs w:val="24"/>
        </w:rPr>
        <w:t xml:space="preserve"> site serves as an additional source of electrons for free radical production. So turnover at both electron input and output (reverse) of the enzyme complex results in the highest ROS production rates.</w:t>
      </w:r>
      <w:r w:rsidRPr="006A16A2">
        <w:rPr>
          <w:rFonts w:ascii="Times New Roman" w:hAnsi="Times New Roman" w:cs="Times New Roman"/>
          <w:sz w:val="24"/>
          <w:szCs w:val="24"/>
        </w:rPr>
        <w:t>”</w:t>
      </w:r>
    </w:p>
    <w:p w14:paraId="239900C1" w14:textId="5ED2FD42" w:rsidR="000232EB" w:rsidRPr="006A16A2" w:rsidRDefault="000232EB" w:rsidP="00497A68">
      <w:pPr>
        <w:pStyle w:val="ListParagraph"/>
        <w:numPr>
          <w:ilvl w:val="1"/>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compares and contrasts model analysis using these 2 data sets</w:t>
      </w:r>
    </w:p>
    <w:p w14:paraId="5F4AC0E4" w14:textId="447D8C81" w:rsidR="000232EB" w:rsidRPr="006A16A2" w:rsidRDefault="00497A68" w:rsidP="00497A68">
      <w:pPr>
        <w:pStyle w:val="ListParagraph"/>
        <w:numPr>
          <w:ilvl w:val="2"/>
          <w:numId w:val="1"/>
        </w:numPr>
        <w:rPr>
          <w:rFonts w:ascii="Times New Roman" w:hAnsi="Times New Roman" w:cs="Times New Roman"/>
          <w:color w:val="323130"/>
          <w:sz w:val="24"/>
          <w:szCs w:val="24"/>
        </w:rPr>
      </w:pPr>
      <w:r w:rsidRPr="006A16A2">
        <w:rPr>
          <w:rFonts w:ascii="Times New Roman" w:hAnsi="Times New Roman" w:cs="Times New Roman"/>
          <w:sz w:val="24"/>
          <w:szCs w:val="24"/>
        </w:rPr>
        <w:lastRenderedPageBreak/>
        <w:t>“</w:t>
      </w:r>
      <w:r w:rsidR="000232EB" w:rsidRPr="006A16A2">
        <w:rPr>
          <w:rFonts w:ascii="Times New Roman" w:hAnsi="Times New Roman" w:cs="Times New Roman"/>
          <w:sz w:val="24"/>
          <w:szCs w:val="24"/>
        </w:rPr>
        <w:t>In the presence of either inhibitor, the FAD is the major source of ROS, and</w:t>
      </w:r>
      <w:r w:rsidR="000232EB" w:rsidRPr="006A16A2" w:rsidDel="00682866">
        <w:rPr>
          <w:rFonts w:ascii="Times New Roman" w:hAnsi="Times New Roman" w:cs="Times New Roman"/>
          <w:sz w:val="24"/>
          <w:szCs w:val="24"/>
        </w:rPr>
        <w:t xml:space="preserve"> </w:t>
      </w:r>
      <w:r w:rsidR="000232EB" w:rsidRPr="006A16A2">
        <w:rPr>
          <w:rFonts w:ascii="Times New Roman" w:hAnsi="Times New Roman" w:cs="Times New Roman"/>
          <w:sz w:val="24"/>
          <w:szCs w:val="24"/>
        </w:rPr>
        <w:t>O</w:t>
      </w:r>
      <w:r w:rsidR="000232EB" w:rsidRPr="006A16A2">
        <w:rPr>
          <w:rFonts w:ascii="Times New Roman" w:hAnsi="Times New Roman" w:cs="Times New Roman"/>
          <w:sz w:val="24"/>
          <w:szCs w:val="24"/>
          <w:vertAlign w:val="subscript"/>
        </w:rPr>
        <w:t>2</w:t>
      </w:r>
      <w:r w:rsidR="000232EB" w:rsidRPr="006A16A2">
        <w:rPr>
          <w:rFonts w:ascii="Times New Roman" w:hAnsi="Times New Roman" w:cs="Times New Roman"/>
          <w:sz w:val="24"/>
          <w:szCs w:val="24"/>
          <w:vertAlign w:val="superscript"/>
        </w:rPr>
        <w:t>•-</w:t>
      </w:r>
      <w:r w:rsidR="000232EB" w:rsidRPr="006A16A2">
        <w:rPr>
          <w:rFonts w:ascii="Times New Roman" w:hAnsi="Times New Roman" w:cs="Times New Roman"/>
          <w:sz w:val="24"/>
          <w:szCs w:val="24"/>
        </w:rPr>
        <w:t xml:space="preserve"> from the FAD site at low succinate concentrations is highest among ROS species. As the succinate concentration increases, H</w:t>
      </w:r>
      <w:r w:rsidR="000232EB" w:rsidRPr="006A16A2">
        <w:rPr>
          <w:rFonts w:ascii="Times New Roman" w:hAnsi="Times New Roman" w:cs="Times New Roman"/>
          <w:sz w:val="24"/>
          <w:szCs w:val="24"/>
          <w:vertAlign w:val="subscript"/>
        </w:rPr>
        <w:t>2</w:t>
      </w:r>
      <w:r w:rsidR="000232EB" w:rsidRPr="006A16A2">
        <w:rPr>
          <w:rFonts w:ascii="Times New Roman" w:hAnsi="Times New Roman" w:cs="Times New Roman"/>
          <w:sz w:val="24"/>
          <w:szCs w:val="24"/>
        </w:rPr>
        <w:t>O</w:t>
      </w:r>
      <w:r w:rsidR="000232EB" w:rsidRPr="006A16A2">
        <w:rPr>
          <w:rFonts w:ascii="Times New Roman" w:hAnsi="Times New Roman" w:cs="Times New Roman"/>
          <w:sz w:val="24"/>
          <w:szCs w:val="24"/>
          <w:vertAlign w:val="subscript"/>
        </w:rPr>
        <w:t>2</w:t>
      </w:r>
      <w:r w:rsidR="000232EB" w:rsidRPr="006A16A2">
        <w:rPr>
          <w:rFonts w:ascii="Times New Roman" w:hAnsi="Times New Roman" w:cs="Times New Roman"/>
          <w:sz w:val="24"/>
          <w:szCs w:val="24"/>
        </w:rPr>
        <w:t xml:space="preserve"> production from the FAD site exceeds the O</w:t>
      </w:r>
      <w:r w:rsidR="000232EB" w:rsidRPr="006A16A2">
        <w:rPr>
          <w:rFonts w:ascii="Times New Roman" w:hAnsi="Times New Roman" w:cs="Times New Roman"/>
          <w:sz w:val="24"/>
          <w:szCs w:val="24"/>
          <w:vertAlign w:val="subscript"/>
        </w:rPr>
        <w:t>2</w:t>
      </w:r>
      <w:r w:rsidR="000232EB" w:rsidRPr="006A16A2">
        <w:rPr>
          <w:rFonts w:ascii="Times New Roman" w:hAnsi="Times New Roman" w:cs="Times New Roman"/>
          <w:sz w:val="24"/>
          <w:szCs w:val="24"/>
          <w:vertAlign w:val="superscript"/>
        </w:rPr>
        <w:t>•-</w:t>
      </w:r>
      <w:r w:rsidR="000232EB" w:rsidRPr="006A16A2">
        <w:rPr>
          <w:rFonts w:ascii="Times New Roman" w:hAnsi="Times New Roman" w:cs="Times New Roman"/>
          <w:sz w:val="24"/>
          <w:szCs w:val="24"/>
        </w:rPr>
        <w:t xml:space="preserve"> rate from this site. But as the succinate concentration further increases, the ROS production rate from the FAD site decreases due to succinate binding to the FAD, making it unavailable to interact with oxygen.</w:t>
      </w:r>
      <w:r w:rsidRPr="006A16A2">
        <w:rPr>
          <w:rFonts w:ascii="Times New Roman" w:hAnsi="Times New Roman" w:cs="Times New Roman"/>
          <w:sz w:val="24"/>
          <w:szCs w:val="24"/>
        </w:rPr>
        <w:t>”</w:t>
      </w:r>
    </w:p>
    <w:p w14:paraId="27AB0D1C" w14:textId="77777777" w:rsidR="000232EB" w:rsidRPr="006A16A2" w:rsidRDefault="000232EB" w:rsidP="00497A68">
      <w:pPr>
        <w:pStyle w:val="ListParagraph"/>
        <w:numPr>
          <w:ilvl w:val="1"/>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recounts the mechanism of action exerted by atpenin</w:t>
      </w:r>
    </w:p>
    <w:p w14:paraId="62E860A8" w14:textId="6708EC20" w:rsidR="000232EB" w:rsidRPr="006A16A2" w:rsidRDefault="006A16A2" w:rsidP="006A16A2">
      <w:pPr>
        <w:pStyle w:val="ListParagraph"/>
        <w:numPr>
          <w:ilvl w:val="2"/>
          <w:numId w:val="1"/>
        </w:numPr>
        <w:rPr>
          <w:rFonts w:ascii="Times New Roman" w:hAnsi="Times New Roman" w:cs="Times New Roman"/>
          <w:sz w:val="24"/>
          <w:szCs w:val="24"/>
        </w:rPr>
      </w:pPr>
      <w:r w:rsidRPr="006A16A2">
        <w:rPr>
          <w:rFonts w:ascii="Times New Roman" w:hAnsi="Times New Roman" w:cs="Times New Roman"/>
          <w:sz w:val="24"/>
          <w:szCs w:val="24"/>
        </w:rPr>
        <w:t>“</w:t>
      </w:r>
      <w:r w:rsidR="000232EB" w:rsidRPr="006A16A2">
        <w:rPr>
          <w:rFonts w:ascii="Times New Roman" w:hAnsi="Times New Roman" w:cs="Times New Roman"/>
          <w:sz w:val="24"/>
          <w:szCs w:val="24"/>
        </w:rPr>
        <w:t xml:space="preserve">However, when atpenin is present, electron transfer from the ISC to quinone or oxygen is blocked </w:t>
      </w:r>
      <w:r w:rsidR="000232EB" w:rsidRPr="006A16A2">
        <w:rPr>
          <w:rFonts w:ascii="Times New Roman" w:hAnsi="Times New Roman" w:cs="Times New Roman"/>
          <w:sz w:val="24"/>
          <w:szCs w:val="24"/>
        </w:rPr>
        <w:fldChar w:fldCharType="begin">
          <w:fldData xml:space="preserve">PEVuZE5vdGU+PENpdGU+PEF1dGhvcj5NaXlhZGVyYTwvQXV0aG9yPjxZZWFyPjIwMDM8L1llYXI+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</w:fldData>
        </w:fldChar>
      </w:r>
      <w:r w:rsidR="000232EB" w:rsidRPr="006A16A2">
        <w:rPr>
          <w:rFonts w:ascii="Times New Roman" w:hAnsi="Times New Roman" w:cs="Times New Roman"/>
          <w:sz w:val="24"/>
          <w:szCs w:val="24"/>
        </w:rPr>
        <w:instrText xml:space="preserve"> ADDIN EN.CITE </w:instrText>
      </w:r>
      <w:r w:rsidR="000232EB" w:rsidRPr="006A16A2">
        <w:rPr>
          <w:rFonts w:ascii="Times New Roman" w:hAnsi="Times New Roman" w:cs="Times New Roman"/>
          <w:sz w:val="24"/>
          <w:szCs w:val="24"/>
        </w:rPr>
        <w:fldChar w:fldCharType="begin">
          <w:fldData xml:space="preserve">PEVuZE5vdGU+PENpdGU+PEF1dGhvcj5NaXlhZGVyYTwvQXV0aG9yPjxZZWFyPjIwMDM8L1llYXI+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</w:fldData>
        </w:fldChar>
      </w:r>
      <w:r w:rsidR="000232EB" w:rsidRPr="006A16A2">
        <w:rPr>
          <w:rFonts w:ascii="Times New Roman" w:hAnsi="Times New Roman" w:cs="Times New Roman"/>
          <w:sz w:val="24"/>
          <w:szCs w:val="24"/>
        </w:rPr>
        <w:instrText xml:space="preserve"> ADDIN EN.CITE.DATA </w:instrText>
      </w:r>
      <w:r w:rsidR="000232EB" w:rsidRPr="006A16A2">
        <w:rPr>
          <w:rFonts w:ascii="Times New Roman" w:hAnsi="Times New Roman" w:cs="Times New Roman"/>
          <w:sz w:val="24"/>
          <w:szCs w:val="24"/>
        </w:rPr>
      </w:r>
      <w:r w:rsidR="000232EB" w:rsidRPr="006A16A2">
        <w:rPr>
          <w:rFonts w:ascii="Times New Roman" w:hAnsi="Times New Roman" w:cs="Times New Roman"/>
          <w:sz w:val="24"/>
          <w:szCs w:val="24"/>
        </w:rPr>
        <w:fldChar w:fldCharType="end"/>
      </w:r>
      <w:r w:rsidR="000232EB" w:rsidRPr="006A16A2">
        <w:rPr>
          <w:rFonts w:ascii="Times New Roman" w:hAnsi="Times New Roman" w:cs="Times New Roman"/>
          <w:sz w:val="24"/>
          <w:szCs w:val="24"/>
        </w:rPr>
      </w:r>
      <w:r w:rsidR="000232EB" w:rsidRPr="006A16A2">
        <w:rPr>
          <w:rFonts w:ascii="Times New Roman" w:hAnsi="Times New Roman" w:cs="Times New Roman"/>
          <w:sz w:val="24"/>
          <w:szCs w:val="24"/>
        </w:rPr>
        <w:fldChar w:fldCharType="separate"/>
      </w:r>
      <w:r w:rsidR="000232EB" w:rsidRPr="006A16A2">
        <w:rPr>
          <w:rFonts w:ascii="Times New Roman" w:hAnsi="Times New Roman" w:cs="Times New Roman"/>
          <w:noProof/>
          <w:sz w:val="24"/>
          <w:szCs w:val="24"/>
        </w:rPr>
        <w:t>(47,48)</w:t>
      </w:r>
      <w:r w:rsidR="000232EB" w:rsidRPr="006A16A2">
        <w:rPr>
          <w:rFonts w:ascii="Times New Roman" w:hAnsi="Times New Roman" w:cs="Times New Roman"/>
          <w:sz w:val="24"/>
          <w:szCs w:val="24"/>
        </w:rPr>
        <w:fldChar w:fldCharType="end"/>
      </w:r>
      <w:r w:rsidR="000232EB" w:rsidRPr="006A16A2">
        <w:rPr>
          <w:rFonts w:ascii="Times New Roman" w:hAnsi="Times New Roman" w:cs="Times New Roman"/>
          <w:sz w:val="24"/>
          <w:szCs w:val="24"/>
        </w:rPr>
        <w:t xml:space="preserve">. </w:t>
      </w:r>
      <w:r w:rsidRPr="006A16A2">
        <w:rPr>
          <w:rFonts w:ascii="Times New Roman" w:hAnsi="Times New Roman" w:cs="Times New Roman"/>
          <w:sz w:val="24"/>
          <w:szCs w:val="24"/>
        </w:rPr>
        <w:t>“</w:t>
      </w:r>
    </w:p>
    <w:p w14:paraId="2B59BB03" w14:textId="77777777" w:rsidR="00497A68" w:rsidRPr="006A16A2" w:rsidRDefault="000232EB" w:rsidP="006A16A2">
      <w:pPr>
        <w:pStyle w:val="ListParagraph"/>
        <w:numPr>
          <w:ilvl w:val="1"/>
          <w:numId w:val="1"/>
        </w:numPr>
        <w:rPr>
          <w:rFonts w:ascii="Times New Roman" w:hAnsi="Times New Roman" w:cs="Times New Roman"/>
          <w:color w:val="323130"/>
          <w:sz w:val="24"/>
          <w:szCs w:val="24"/>
        </w:rPr>
      </w:pPr>
      <w:r w:rsidRPr="006A16A2">
        <w:rPr>
          <w:rFonts w:ascii="Times New Roman" w:hAnsi="Times New Roman" w:cs="Times New Roman"/>
          <w:color w:val="323130"/>
          <w:sz w:val="24"/>
          <w:szCs w:val="24"/>
        </w:rPr>
        <w:t xml:space="preserve">The paragraph is then concluded with a more generalized notion that stigmatellin </w:t>
      </w:r>
      <w:r w:rsidR="00497A68" w:rsidRPr="006A16A2">
        <w:rPr>
          <w:rFonts w:ascii="Times New Roman" w:hAnsi="Times New Roman" w:cs="Times New Roman"/>
          <w:color w:val="323130"/>
          <w:sz w:val="24"/>
          <w:szCs w:val="24"/>
        </w:rPr>
        <w:t xml:space="preserve">results in a more highly reduced state of the enzyme, resulting in an environment conducive for higher ROS production rates. </w:t>
      </w:r>
    </w:p>
    <w:p w14:paraId="634D5FE8" w14:textId="05075235" w:rsidR="00497A68" w:rsidRPr="006A16A2" w:rsidRDefault="006A16A2" w:rsidP="006A16A2">
      <w:pPr>
        <w:pStyle w:val="ListParagraph"/>
        <w:numPr>
          <w:ilvl w:val="2"/>
          <w:numId w:val="1"/>
        </w:numPr>
        <w:rPr>
          <w:rFonts w:ascii="Times New Roman" w:hAnsi="Times New Roman" w:cs="Times New Roman"/>
          <w:sz w:val="24"/>
          <w:szCs w:val="24"/>
        </w:rPr>
      </w:pPr>
      <w:r w:rsidRPr="006A16A2">
        <w:rPr>
          <w:rFonts w:ascii="Times New Roman" w:hAnsi="Times New Roman" w:cs="Times New Roman"/>
          <w:sz w:val="24"/>
          <w:szCs w:val="24"/>
        </w:rPr>
        <w:t>“</w:t>
      </w:r>
      <w:r w:rsidR="00497A68" w:rsidRPr="006A16A2">
        <w:rPr>
          <w:rFonts w:ascii="Times New Roman" w:hAnsi="Times New Roman" w:cs="Times New Roman"/>
          <w:sz w:val="24"/>
          <w:szCs w:val="24"/>
        </w:rPr>
        <w:t>Therefore, O</w:t>
      </w:r>
      <w:r w:rsidR="00497A68" w:rsidRPr="006A16A2">
        <w:rPr>
          <w:rFonts w:ascii="Times New Roman" w:hAnsi="Times New Roman" w:cs="Times New Roman"/>
          <w:sz w:val="24"/>
          <w:szCs w:val="24"/>
          <w:vertAlign w:val="subscript"/>
        </w:rPr>
        <w:t>2</w:t>
      </w:r>
      <w:r w:rsidR="00497A68" w:rsidRPr="006A16A2">
        <w:rPr>
          <w:rFonts w:ascii="Times New Roman" w:hAnsi="Times New Roman" w:cs="Times New Roman"/>
          <w:sz w:val="24"/>
          <w:szCs w:val="24"/>
          <w:vertAlign w:val="superscript"/>
        </w:rPr>
        <w:t>•-</w:t>
      </w:r>
      <w:r w:rsidR="00497A68" w:rsidRPr="006A16A2">
        <w:rPr>
          <w:rFonts w:ascii="Times New Roman" w:hAnsi="Times New Roman" w:cs="Times New Roman"/>
          <w:sz w:val="24"/>
          <w:szCs w:val="24"/>
        </w:rPr>
        <w:t xml:space="preserve"> production from the FAD remains the dominate source of ROS, and the ISC produces no ROS when atpenin is present (Fig. 5C). In addition, the enzyme is more oxidized compared to when stigmatellin is present, so the amount of enzyme with a fully reduced flavin is lower. Thus, the rate of </w:t>
      </w:r>
      <w:r w:rsidR="00497A68" w:rsidRPr="006A16A2">
        <w:rPr>
          <w:rFonts w:ascii="Times New Roman" w:hAnsi="Times New Roman" w:cs="Times New Roman"/>
          <w:color w:val="000000"/>
          <w:sz w:val="24"/>
          <w:szCs w:val="24"/>
        </w:rPr>
        <w:t>H</w:t>
      </w:r>
      <w:r w:rsidR="00497A68" w:rsidRPr="006A16A2">
        <w:rPr>
          <w:rFonts w:ascii="Times New Roman" w:hAnsi="Times New Roman" w:cs="Times New Roman"/>
          <w:color w:val="000000"/>
          <w:sz w:val="24"/>
          <w:szCs w:val="24"/>
          <w:vertAlign w:val="subscript"/>
        </w:rPr>
        <w:t>2</w:t>
      </w:r>
      <w:r w:rsidR="00497A68" w:rsidRPr="006A16A2">
        <w:rPr>
          <w:rFonts w:ascii="Times New Roman" w:hAnsi="Times New Roman" w:cs="Times New Roman"/>
          <w:color w:val="000000"/>
          <w:sz w:val="24"/>
          <w:szCs w:val="24"/>
        </w:rPr>
        <w:t>O</w:t>
      </w:r>
      <w:r w:rsidR="00497A68" w:rsidRPr="006A16A2">
        <w:rPr>
          <w:rFonts w:ascii="Times New Roman" w:hAnsi="Times New Roman" w:cs="Times New Roman"/>
          <w:color w:val="000000"/>
          <w:sz w:val="24"/>
          <w:szCs w:val="24"/>
          <w:vertAlign w:val="subscript"/>
        </w:rPr>
        <w:t>2</w:t>
      </w:r>
      <w:r w:rsidR="00497A68" w:rsidRPr="006A16A2">
        <w:rPr>
          <w:rFonts w:ascii="Times New Roman" w:hAnsi="Times New Roman" w:cs="Times New Roman"/>
          <w:sz w:val="24"/>
          <w:szCs w:val="24"/>
        </w:rPr>
        <w:t xml:space="preserve"> production is lower.</w:t>
      </w:r>
      <w:r w:rsidRPr="006A16A2">
        <w:rPr>
          <w:rFonts w:ascii="Times New Roman" w:hAnsi="Times New Roman" w:cs="Times New Roman"/>
          <w:sz w:val="24"/>
          <w:szCs w:val="24"/>
        </w:rPr>
        <w:t>”</w:t>
      </w:r>
    </w:p>
    <w:p w14:paraId="62868F4B" w14:textId="77777777" w:rsidR="00497A68" w:rsidRPr="006A16A2" w:rsidRDefault="00497A68" w:rsidP="000232EB">
      <w:pPr>
        <w:rPr>
          <w:rFonts w:ascii="Times New Roman" w:hAnsi="Times New Roman" w:cs="Times New Roman"/>
          <w:sz w:val="24"/>
          <w:szCs w:val="24"/>
          <w:u w:val="single"/>
        </w:rPr>
      </w:pPr>
      <w:r w:rsidRPr="006A16A2">
        <w:rPr>
          <w:rFonts w:ascii="Times New Roman" w:hAnsi="Times New Roman" w:cs="Times New Roman"/>
          <w:sz w:val="24"/>
          <w:szCs w:val="24"/>
          <w:u w:val="single"/>
        </w:rPr>
        <w:t>Relevance of data in Fig. 5</w:t>
      </w:r>
    </w:p>
    <w:p w14:paraId="669FEBB2" w14:textId="5992CFD5" w:rsidR="008E2BBE" w:rsidRDefault="006A16A2" w:rsidP="008E2BB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An issue with studying ROS production in general and by SDH in particular is the use of inhibitors. As thoroughly visited in the Introduction (paragraphs 4 &amp; 5), the use of inhibitors is further complicated by the other different environmental conditions that can influence ROS measurements. </w:t>
      </w:r>
      <w:r w:rsidR="008E2BBE">
        <w:rPr>
          <w:rFonts w:ascii="Times New Roman" w:hAnsi="Times New Roman" w:cs="Times New Roman"/>
          <w:sz w:val="24"/>
          <w:szCs w:val="24"/>
        </w:rPr>
        <w:t xml:space="preserve">These environmental factors include but are not limited to the different substrate levels, the presence of other non-SDH substrate dicarboxylates and the presence of different kinds of inhibitors. </w:t>
      </w:r>
      <w:r>
        <w:rPr>
          <w:rFonts w:ascii="Times New Roman" w:hAnsi="Times New Roman" w:cs="Times New Roman"/>
          <w:sz w:val="24"/>
          <w:szCs w:val="24"/>
        </w:rPr>
        <w:t xml:space="preserve">These together result in discrepancies in experimental data reported by different groups, as well as </w:t>
      </w:r>
      <w:r w:rsidR="008E2BBE">
        <w:rPr>
          <w:rFonts w:ascii="Times New Roman" w:hAnsi="Times New Roman" w:cs="Times New Roman"/>
          <w:sz w:val="24"/>
          <w:szCs w:val="24"/>
        </w:rPr>
        <w:t xml:space="preserve">the </w:t>
      </w:r>
      <w:r>
        <w:rPr>
          <w:rFonts w:ascii="Times New Roman" w:hAnsi="Times New Roman" w:cs="Times New Roman"/>
          <w:sz w:val="24"/>
          <w:szCs w:val="24"/>
        </w:rPr>
        <w:t>conclusions drawn from these data.</w:t>
      </w:r>
      <w:r w:rsidR="008E2BBE">
        <w:rPr>
          <w:rFonts w:ascii="Times New Roman" w:hAnsi="Times New Roman" w:cs="Times New Roman"/>
          <w:sz w:val="24"/>
          <w:szCs w:val="24"/>
        </w:rPr>
        <w:t xml:space="preserve"> </w:t>
      </w:r>
      <w:r w:rsidRPr="008E2BBE">
        <w:rPr>
          <w:rFonts w:ascii="Times New Roman" w:hAnsi="Times New Roman" w:cs="Times New Roman"/>
          <w:sz w:val="24"/>
          <w:szCs w:val="24"/>
        </w:rPr>
        <w:t xml:space="preserve">Therefore, model construction and calibration require data sets obtained under different conditions. This process is </w:t>
      </w:r>
      <w:r w:rsidR="008E2BBE" w:rsidRPr="008E2BBE">
        <w:rPr>
          <w:rFonts w:ascii="Times New Roman" w:hAnsi="Times New Roman" w:cs="Times New Roman"/>
          <w:sz w:val="24"/>
          <w:szCs w:val="24"/>
        </w:rPr>
        <w:t>briefly described in the Results (paragraph 1).</w:t>
      </w:r>
    </w:p>
    <w:p w14:paraId="2F881A57" w14:textId="703BFA3B" w:rsidR="008E2BBE" w:rsidRDefault="008E2BBE" w:rsidP="008E2BB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However, we have included additional texts in the Results section to provide a rationale for why data sets using different inhibitors is necessary for model construction and calibration. </w:t>
      </w:r>
    </w:p>
    <w:p w14:paraId="47FB8E83" w14:textId="274DB205" w:rsidR="008E2BBE" w:rsidRPr="0043060D" w:rsidRDefault="008E2BBE" w:rsidP="008E2BBE">
      <w:pPr>
        <w:pStyle w:val="ListParagraph"/>
        <w:numPr>
          <w:ilvl w:val="1"/>
          <w:numId w:val="2"/>
        </w:numPr>
        <w:rPr>
          <w:rFonts w:ascii="Times New Roman" w:hAnsi="Times New Roman" w:cs="Times New Roman"/>
          <w:sz w:val="24"/>
          <w:szCs w:val="24"/>
        </w:rPr>
      </w:pPr>
      <w:r w:rsidRPr="0043060D">
        <w:rPr>
          <w:rFonts w:ascii="Times New Roman" w:hAnsi="Times New Roman" w:cs="Times New Roman"/>
          <w:sz w:val="24"/>
          <w:szCs w:val="24"/>
        </w:rPr>
        <w:t>“</w:t>
      </w:r>
      <w:r w:rsidR="0043060D" w:rsidRPr="0043060D">
        <w:rPr>
          <w:rFonts w:ascii="Times New Roman" w:hAnsi="Times New Roman" w:cs="Times New Roman"/>
          <w:color w:val="000000" w:themeColor="text1"/>
          <w:sz w:val="24"/>
          <w:szCs w:val="24"/>
        </w:rPr>
        <w:t xml:space="preserve">Other inhibitors acting upstream or downstream of SDH can also influence the enzyme’s oxidation state. Some of the most common inhibitors used in experimental settings include </w:t>
      </w:r>
      <w:proofErr w:type="spellStart"/>
      <w:r w:rsidR="0043060D" w:rsidRPr="0043060D">
        <w:rPr>
          <w:rFonts w:ascii="Times New Roman" w:hAnsi="Times New Roman" w:cs="Times New Roman"/>
          <w:color w:val="000000" w:themeColor="text1"/>
          <w:sz w:val="24"/>
          <w:szCs w:val="24"/>
        </w:rPr>
        <w:t>myxothiazol</w:t>
      </w:r>
      <w:proofErr w:type="spellEnd"/>
      <w:r w:rsidR="0043060D" w:rsidRPr="0043060D">
        <w:rPr>
          <w:rFonts w:ascii="Times New Roman" w:hAnsi="Times New Roman" w:cs="Times New Roman"/>
          <w:color w:val="000000" w:themeColor="text1"/>
          <w:sz w:val="24"/>
          <w:szCs w:val="24"/>
        </w:rPr>
        <w:t xml:space="preserve"> and stigmatellin, which inhibits electron flow downstream of SDH and rotenone, which inhibits electron flow upstream of the enzyme complex.</w:t>
      </w:r>
      <w:r w:rsidR="0043060D" w:rsidRPr="0043060D">
        <w:rPr>
          <w:rFonts w:ascii="Times New Roman" w:hAnsi="Times New Roman" w:cs="Times New Roman"/>
          <w:color w:val="000000" w:themeColor="text1"/>
          <w:sz w:val="24"/>
          <w:szCs w:val="24"/>
        </w:rPr>
        <w:t>”</w:t>
      </w:r>
    </w:p>
    <w:p w14:paraId="4FDEF775" w14:textId="77777777" w:rsidR="002807C3" w:rsidRDefault="00497A68" w:rsidP="008E2BBE">
      <w:pPr>
        <w:pStyle w:val="ListParagraph"/>
        <w:numPr>
          <w:ilvl w:val="0"/>
          <w:numId w:val="2"/>
        </w:numPr>
        <w:rPr>
          <w:rFonts w:ascii="Times New Roman" w:hAnsi="Times New Roman" w:cs="Times New Roman"/>
          <w:sz w:val="24"/>
          <w:szCs w:val="24"/>
        </w:rPr>
      </w:pPr>
      <w:r w:rsidRPr="008E2BBE">
        <w:rPr>
          <w:rFonts w:ascii="Times New Roman" w:hAnsi="Times New Roman" w:cs="Times New Roman"/>
          <w:sz w:val="24"/>
          <w:szCs w:val="24"/>
        </w:rPr>
        <w:t xml:space="preserve">The data presented in </w:t>
      </w:r>
      <w:r w:rsidR="008E2BBE">
        <w:rPr>
          <w:rFonts w:ascii="Times New Roman" w:hAnsi="Times New Roman" w:cs="Times New Roman"/>
          <w:sz w:val="24"/>
          <w:szCs w:val="24"/>
        </w:rPr>
        <w:t>Fig. 5 were performed under different conditions from other data sets. The ROS data sets ar</w:t>
      </w:r>
      <w:r w:rsidR="002807C3">
        <w:rPr>
          <w:rFonts w:ascii="Times New Roman" w:hAnsi="Times New Roman" w:cs="Times New Roman"/>
          <w:sz w:val="24"/>
          <w:szCs w:val="24"/>
        </w:rPr>
        <w:t xml:space="preserve">e presented in the order of increasing complexity. </w:t>
      </w:r>
      <w:r w:rsidR="008E2BBE">
        <w:rPr>
          <w:rFonts w:ascii="Times New Roman" w:hAnsi="Times New Roman" w:cs="Times New Roman"/>
          <w:sz w:val="24"/>
          <w:szCs w:val="24"/>
        </w:rPr>
        <w:t xml:space="preserve">Specifically, </w:t>
      </w:r>
    </w:p>
    <w:p w14:paraId="3DD9ACF4" w14:textId="578ABA19" w:rsidR="006A16A2" w:rsidRDefault="008E2BBE" w:rsidP="002807C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Fig. 4</w:t>
      </w:r>
      <w:r w:rsidR="002807C3">
        <w:rPr>
          <w:rFonts w:ascii="Times New Roman" w:hAnsi="Times New Roman" w:cs="Times New Roman"/>
          <w:sz w:val="24"/>
          <w:szCs w:val="24"/>
        </w:rPr>
        <w:t xml:space="preserve">: </w:t>
      </w:r>
      <w:r w:rsidR="0043060D">
        <w:rPr>
          <w:rFonts w:ascii="Times New Roman" w:hAnsi="Times New Roman" w:cs="Times New Roman"/>
          <w:sz w:val="24"/>
          <w:szCs w:val="24"/>
        </w:rPr>
        <w:t xml:space="preserve">Fixed environmental factors: </w:t>
      </w:r>
      <w:proofErr w:type="spellStart"/>
      <w:r w:rsidR="002807C3">
        <w:rPr>
          <w:rFonts w:ascii="Times New Roman" w:hAnsi="Times New Roman" w:cs="Times New Roman"/>
          <w:sz w:val="24"/>
          <w:szCs w:val="24"/>
        </w:rPr>
        <w:t>myxothiazol</w:t>
      </w:r>
      <w:proofErr w:type="spellEnd"/>
      <w:r w:rsidR="002807C3">
        <w:rPr>
          <w:rFonts w:ascii="Times New Roman" w:hAnsi="Times New Roman" w:cs="Times New Roman"/>
          <w:sz w:val="24"/>
          <w:szCs w:val="24"/>
        </w:rPr>
        <w:t xml:space="preserve"> and rotenone on one hand and atpenin on the other hand. </w:t>
      </w:r>
      <w:r w:rsidR="0043060D">
        <w:rPr>
          <w:rFonts w:ascii="Times New Roman" w:hAnsi="Times New Roman" w:cs="Times New Roman"/>
          <w:sz w:val="24"/>
          <w:szCs w:val="24"/>
        </w:rPr>
        <w:t>Substrate level is varied.</w:t>
      </w:r>
    </w:p>
    <w:p w14:paraId="5C0F240B" w14:textId="63EE8870" w:rsidR="002807C3" w:rsidRDefault="002807C3" w:rsidP="002807C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Fig. 5: </w:t>
      </w:r>
      <w:r w:rsidR="0043060D">
        <w:rPr>
          <w:rFonts w:ascii="Times New Roman" w:hAnsi="Times New Roman" w:cs="Times New Roman"/>
          <w:sz w:val="24"/>
          <w:szCs w:val="24"/>
        </w:rPr>
        <w:t>Fixed environmental</w:t>
      </w:r>
      <w:r>
        <w:rPr>
          <w:rFonts w:ascii="Times New Roman" w:hAnsi="Times New Roman" w:cs="Times New Roman"/>
          <w:sz w:val="24"/>
          <w:szCs w:val="24"/>
        </w:rPr>
        <w:t xml:space="preserve"> factors</w:t>
      </w:r>
      <w:r w:rsidR="0043060D">
        <w:rPr>
          <w:rFonts w:ascii="Times New Roman" w:hAnsi="Times New Roman" w:cs="Times New Roman"/>
          <w:sz w:val="24"/>
          <w:szCs w:val="24"/>
        </w:rPr>
        <w:t xml:space="preserve">: </w:t>
      </w:r>
      <w:r>
        <w:rPr>
          <w:rFonts w:ascii="Times New Roman" w:hAnsi="Times New Roman" w:cs="Times New Roman"/>
          <w:sz w:val="24"/>
          <w:szCs w:val="24"/>
        </w:rPr>
        <w:t>stigmatellin or atpenin at 2 different concentrations.</w:t>
      </w:r>
      <w:r w:rsidR="0043060D">
        <w:rPr>
          <w:rFonts w:ascii="Times New Roman" w:hAnsi="Times New Roman" w:cs="Times New Roman"/>
          <w:sz w:val="24"/>
          <w:szCs w:val="24"/>
        </w:rPr>
        <w:t xml:space="preserve"> Substrate level is varied.</w:t>
      </w:r>
    </w:p>
    <w:p w14:paraId="1C241B21" w14:textId="43D72E4E" w:rsidR="002807C3" w:rsidRDefault="002807C3" w:rsidP="002807C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Fig. 6: ROS production rates at a fixed substrate level. </w:t>
      </w:r>
      <w:r w:rsidR="0043060D">
        <w:rPr>
          <w:rFonts w:ascii="Times New Roman" w:hAnsi="Times New Roman" w:cs="Times New Roman"/>
          <w:sz w:val="24"/>
          <w:szCs w:val="24"/>
        </w:rPr>
        <w:t>Environmental</w:t>
      </w:r>
      <w:r>
        <w:rPr>
          <w:rFonts w:ascii="Times New Roman" w:hAnsi="Times New Roman" w:cs="Times New Roman"/>
          <w:sz w:val="24"/>
          <w:szCs w:val="24"/>
        </w:rPr>
        <w:t xml:space="preserve"> factors are varied: in the presence of Q reductase inhibitor (atpenin) or FAD site inhibitors (malate and oxaloacetate). </w:t>
      </w:r>
    </w:p>
    <w:p w14:paraId="513A2C80" w14:textId="77777777" w:rsidR="0043060D" w:rsidRDefault="002807C3" w:rsidP="006A16A2">
      <w:pPr>
        <w:pStyle w:val="ListParagraph"/>
        <w:numPr>
          <w:ilvl w:val="1"/>
          <w:numId w:val="2"/>
        </w:numPr>
        <w:rPr>
          <w:rFonts w:ascii="Times New Roman" w:hAnsi="Times New Roman" w:cs="Times New Roman"/>
          <w:sz w:val="24"/>
          <w:szCs w:val="24"/>
        </w:rPr>
      </w:pPr>
      <w:r w:rsidRPr="0043060D">
        <w:rPr>
          <w:rFonts w:ascii="Times New Roman" w:hAnsi="Times New Roman" w:cs="Times New Roman"/>
          <w:sz w:val="24"/>
          <w:szCs w:val="24"/>
        </w:rPr>
        <w:t>Fig. 7: The data set here</w:t>
      </w:r>
      <w:r w:rsidR="0043060D" w:rsidRPr="0043060D">
        <w:rPr>
          <w:rFonts w:ascii="Times New Roman" w:hAnsi="Times New Roman" w:cs="Times New Roman"/>
          <w:sz w:val="24"/>
          <w:szCs w:val="24"/>
        </w:rPr>
        <w:t xml:space="preserve"> combine environmental </w:t>
      </w:r>
      <w:r w:rsidRPr="0043060D">
        <w:rPr>
          <w:rFonts w:ascii="Times New Roman" w:hAnsi="Times New Roman" w:cs="Times New Roman"/>
          <w:sz w:val="24"/>
          <w:szCs w:val="24"/>
        </w:rPr>
        <w:t>factors</w:t>
      </w:r>
      <w:r w:rsidR="0043060D" w:rsidRPr="0043060D">
        <w:rPr>
          <w:rFonts w:ascii="Times New Roman" w:hAnsi="Times New Roman" w:cs="Times New Roman"/>
          <w:sz w:val="24"/>
          <w:szCs w:val="24"/>
        </w:rPr>
        <w:t xml:space="preserve"> and substrate levels. In terms of environmental factors, fumarate is present as the non-SDH dicarboxylate substrate and at least another inhibitor is present (atpenin, </w:t>
      </w:r>
      <w:proofErr w:type="spellStart"/>
      <w:r w:rsidR="0043060D" w:rsidRPr="0043060D">
        <w:rPr>
          <w:rFonts w:ascii="Times New Roman" w:hAnsi="Times New Roman" w:cs="Times New Roman"/>
          <w:sz w:val="24"/>
          <w:szCs w:val="24"/>
        </w:rPr>
        <w:t>myxothiazol</w:t>
      </w:r>
      <w:proofErr w:type="spellEnd"/>
      <w:r w:rsidR="0043060D" w:rsidRPr="0043060D">
        <w:rPr>
          <w:rFonts w:ascii="Times New Roman" w:hAnsi="Times New Roman" w:cs="Times New Roman"/>
          <w:sz w:val="24"/>
          <w:szCs w:val="24"/>
        </w:rPr>
        <w:t xml:space="preserve"> or stigmatellin). </w:t>
      </w:r>
    </w:p>
    <w:p w14:paraId="4A7A7358" w14:textId="7901B2ED" w:rsidR="006A16A2" w:rsidRPr="0043060D" w:rsidRDefault="00F176F3" w:rsidP="0043060D">
      <w:pPr>
        <w:rPr>
          <w:rFonts w:ascii="Times New Roman" w:hAnsi="Times New Roman" w:cs="Times New Roman"/>
          <w:sz w:val="24"/>
          <w:szCs w:val="24"/>
        </w:rPr>
      </w:pPr>
      <w:r w:rsidRPr="0043060D">
        <w:rPr>
          <w:rFonts w:ascii="Times New Roman" w:hAnsi="Times New Roman" w:cs="Times New Roman"/>
          <w:color w:val="323130"/>
          <w:sz w:val="24"/>
          <w:szCs w:val="24"/>
        </w:rPr>
        <w:t>5. Terminal sentence, first paragraph, page 8: Replace "require" with "required"</w:t>
      </w:r>
    </w:p>
    <w:p w14:paraId="47BFF156" w14:textId="77777777" w:rsidR="00F37D65" w:rsidRPr="00F37D65" w:rsidRDefault="002807C3" w:rsidP="00C01D57">
      <w:pPr>
        <w:pStyle w:val="ListParagraph"/>
        <w:numPr>
          <w:ilvl w:val="0"/>
          <w:numId w:val="2"/>
        </w:numPr>
        <w:rPr>
          <w:rFonts w:ascii="Times New Roman" w:hAnsi="Times New Roman" w:cs="Times New Roman"/>
          <w:sz w:val="24"/>
          <w:szCs w:val="24"/>
        </w:rPr>
      </w:pPr>
      <w:r>
        <w:rPr>
          <w:rFonts w:ascii="Times New Roman" w:hAnsi="Times New Roman" w:cs="Times New Roman"/>
          <w:color w:val="323130"/>
          <w:sz w:val="24"/>
          <w:szCs w:val="24"/>
        </w:rPr>
        <w:t xml:space="preserve">Thank you for catching the mistake. It has been </w:t>
      </w:r>
      <w:r w:rsidR="00497A68" w:rsidRPr="006A16A2">
        <w:rPr>
          <w:rFonts w:ascii="Times New Roman" w:hAnsi="Times New Roman" w:cs="Times New Roman"/>
          <w:color w:val="323130"/>
          <w:sz w:val="24"/>
          <w:szCs w:val="24"/>
        </w:rPr>
        <w:t xml:space="preserve">corrected. </w:t>
      </w:r>
    </w:p>
    <w:p w14:paraId="3B5F11D4" w14:textId="77777777" w:rsidR="00F37D65" w:rsidRDefault="00F37D65" w:rsidP="00F37D65">
      <w:pPr>
        <w:rPr>
          <w:rFonts w:ascii="Times New Roman" w:hAnsi="Times New Roman" w:cs="Times New Roman"/>
          <w:b/>
          <w:bCs/>
          <w:color w:val="323130"/>
          <w:sz w:val="24"/>
          <w:szCs w:val="24"/>
        </w:rPr>
      </w:pPr>
    </w:p>
    <w:p w14:paraId="7CEAD8C5" w14:textId="6B9E84F1" w:rsidR="003C40BF" w:rsidRPr="00F37D65" w:rsidRDefault="00F176F3" w:rsidP="00F37D65">
      <w:pPr>
        <w:rPr>
          <w:rFonts w:ascii="Times New Roman" w:hAnsi="Times New Roman" w:cs="Times New Roman"/>
          <w:sz w:val="24"/>
          <w:szCs w:val="24"/>
        </w:rPr>
      </w:pPr>
      <w:r w:rsidRPr="00F37D65">
        <w:rPr>
          <w:rFonts w:ascii="Times New Roman" w:hAnsi="Times New Roman" w:cs="Times New Roman"/>
          <w:b/>
          <w:bCs/>
          <w:color w:val="323130"/>
          <w:sz w:val="24"/>
          <w:szCs w:val="24"/>
          <w:u w:val="single"/>
        </w:rPr>
        <w:t>Reviewer #2</w:t>
      </w:r>
      <w:r w:rsidRPr="00F37D65">
        <w:rPr>
          <w:rFonts w:ascii="Times New Roman" w:hAnsi="Times New Roman" w:cs="Times New Roman"/>
          <w:color w:val="323130"/>
          <w:sz w:val="24"/>
          <w:szCs w:val="24"/>
        </w:rPr>
        <w:br/>
      </w:r>
      <w:r w:rsidRPr="00F37D65">
        <w:rPr>
          <w:rFonts w:ascii="Times New Roman" w:hAnsi="Times New Roman" w:cs="Times New Roman"/>
          <w:color w:val="323130"/>
          <w:sz w:val="24"/>
          <w:szCs w:val="24"/>
        </w:rPr>
        <w:br/>
        <w:t>While the authors expand on their explanation, my concerns remain. This purely computational study is based on measurements of a complex protein, which can be influenced by protein quality and conditions of the in vitro experiments. There are 19 parameters, and as I stated in my original review, it is not clear to me that the insights are unique. Overall, I still feel that the manuscript is better suited for a specialized audience.</w:t>
      </w:r>
    </w:p>
    <w:p w14:paraId="7A2AB67E" w14:textId="5AE0547C" w:rsidR="00315B3D" w:rsidRPr="00315B3D" w:rsidRDefault="00315B3D" w:rsidP="00315B3D">
      <w:pPr>
        <w:pStyle w:val="ListParagraph"/>
        <w:numPr>
          <w:ilvl w:val="0"/>
          <w:numId w:val="2"/>
        </w:numPr>
        <w:rPr>
          <w:rFonts w:ascii="Times New Roman" w:hAnsi="Times New Roman" w:cs="Times New Roman"/>
          <w:color w:val="323130"/>
          <w:sz w:val="24"/>
          <w:szCs w:val="24"/>
          <w:highlight w:val="yellow"/>
        </w:rPr>
      </w:pPr>
      <w:r w:rsidRPr="00315B3D">
        <w:rPr>
          <w:rFonts w:ascii="Times New Roman" w:hAnsi="Times New Roman" w:cs="Times New Roman"/>
          <w:color w:val="323130"/>
          <w:sz w:val="24"/>
          <w:szCs w:val="24"/>
          <w:highlight w:val="yellow"/>
        </w:rPr>
        <w:t xml:space="preserve">We acknowledge that our manuscript appears heavy on the computational side. However, it is dangerous and conceptually wrong to think that a study is computational simply because the words computational and modeling are used. In fact, a lot of experimental data are included to calibrate and validate the model. As pointed out by the original Reviewer #2, the fact that the data come from different groups and were obtained under different conditions strengthens the model. In addition, we included data generated by our own group (Fig. 9 and Table 3). </w:t>
      </w:r>
      <w:r w:rsidR="0069268F" w:rsidRPr="00315B3D">
        <w:rPr>
          <w:rFonts w:ascii="Times New Roman" w:hAnsi="Times New Roman" w:cs="Times New Roman"/>
          <w:color w:val="323130"/>
          <w:sz w:val="24"/>
          <w:szCs w:val="24"/>
          <w:highlight w:val="yellow"/>
        </w:rPr>
        <w:t>Altogether</w:t>
      </w:r>
      <w:r w:rsidRPr="00315B3D">
        <w:rPr>
          <w:rFonts w:ascii="Times New Roman" w:hAnsi="Times New Roman" w:cs="Times New Roman"/>
          <w:color w:val="323130"/>
          <w:sz w:val="24"/>
          <w:szCs w:val="24"/>
          <w:highlight w:val="yellow"/>
        </w:rPr>
        <w:t xml:space="preserve">, the concern expressed here is ungrounded. </w:t>
      </w:r>
    </w:p>
    <w:p w14:paraId="4149FF7D" w14:textId="2A57A3FF" w:rsidR="00841E6F" w:rsidRPr="0069268F" w:rsidRDefault="00841E6F" w:rsidP="00841E6F">
      <w:pPr>
        <w:rPr>
          <w:rFonts w:ascii="Times New Roman" w:hAnsi="Times New Roman" w:cs="Times New Roman"/>
          <w:b/>
          <w:bCs/>
          <w:color w:val="323130"/>
          <w:sz w:val="24"/>
          <w:szCs w:val="24"/>
        </w:rPr>
      </w:pPr>
      <w:r w:rsidRPr="0069268F">
        <w:rPr>
          <w:rFonts w:ascii="Times New Roman" w:hAnsi="Times New Roman" w:cs="Times New Roman"/>
          <w:b/>
          <w:bCs/>
          <w:color w:val="323130"/>
          <w:sz w:val="24"/>
          <w:szCs w:val="24"/>
        </w:rPr>
        <w:t>Editor’s Suggestion</w:t>
      </w:r>
      <w:r w:rsidR="007235B5">
        <w:rPr>
          <w:rFonts w:ascii="Times New Roman" w:hAnsi="Times New Roman" w:cs="Times New Roman"/>
          <w:b/>
          <w:bCs/>
          <w:color w:val="323130"/>
          <w:sz w:val="24"/>
          <w:szCs w:val="24"/>
        </w:rPr>
        <w:t>s</w:t>
      </w:r>
      <w:r w:rsidRPr="0069268F">
        <w:rPr>
          <w:rFonts w:ascii="Times New Roman" w:hAnsi="Times New Roman" w:cs="Times New Roman"/>
          <w:b/>
          <w:bCs/>
          <w:color w:val="323130"/>
          <w:sz w:val="24"/>
          <w:szCs w:val="24"/>
        </w:rPr>
        <w:t xml:space="preserve"> </w:t>
      </w:r>
      <w:r w:rsidRPr="0069268F">
        <w:rPr>
          <w:rFonts w:ascii="Times New Roman" w:hAnsi="Times New Roman" w:cs="Times New Roman"/>
          <w:b/>
          <w:bCs/>
          <w:color w:val="323130"/>
          <w:sz w:val="24"/>
          <w:szCs w:val="24"/>
        </w:rPr>
        <w:t>to Address the Concerns by Reviewer #2</w:t>
      </w:r>
    </w:p>
    <w:p w14:paraId="4626183D" w14:textId="3E7CB8FF" w:rsidR="0069268F" w:rsidRPr="0069268F" w:rsidRDefault="00841E6F" w:rsidP="0069268F">
      <w:pPr>
        <w:pStyle w:val="ListParagraph"/>
        <w:numPr>
          <w:ilvl w:val="0"/>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E</w:t>
      </w:r>
      <w:r w:rsidRPr="0069268F">
        <w:rPr>
          <w:rFonts w:ascii="Times New Roman" w:hAnsi="Times New Roman" w:cs="Times New Roman"/>
          <w:color w:val="323130"/>
          <w:sz w:val="24"/>
          <w:szCs w:val="24"/>
        </w:rPr>
        <w:t>xplains how such a model can be used study "metabolism" or other enzyme systems in an in vivo setting, (this could broaden the impact) This was not obvious to me.</w:t>
      </w:r>
    </w:p>
    <w:p w14:paraId="4EDB35B3" w14:textId="5B858345" w:rsidR="00841E6F" w:rsidRDefault="0069268F" w:rsidP="0069268F">
      <w:pPr>
        <w:pStyle w:val="ListParagraph"/>
        <w:numPr>
          <w:ilvl w:val="1"/>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This is a really good suggestion. We have included an additional paragraph in the Discussion (</w:t>
      </w:r>
      <w:r w:rsidRPr="0069268F">
        <w:rPr>
          <w:rFonts w:ascii="Times New Roman" w:hAnsi="Times New Roman" w:cs="Times New Roman"/>
          <w:color w:val="323130"/>
          <w:sz w:val="24"/>
          <w:szCs w:val="24"/>
          <w:highlight w:val="yellow"/>
        </w:rPr>
        <w:t>paragraph #</w:t>
      </w:r>
      <w:r w:rsidRPr="0069268F">
        <w:rPr>
          <w:rFonts w:ascii="Times New Roman" w:hAnsi="Times New Roman" w:cs="Times New Roman"/>
          <w:color w:val="323130"/>
          <w:sz w:val="24"/>
          <w:szCs w:val="24"/>
        </w:rPr>
        <w:t>)</w:t>
      </w:r>
      <w:r w:rsidR="00841E6F" w:rsidRPr="0069268F">
        <w:rPr>
          <w:rFonts w:ascii="Times New Roman" w:hAnsi="Times New Roman" w:cs="Times New Roman"/>
          <w:color w:val="323130"/>
          <w:sz w:val="24"/>
          <w:szCs w:val="24"/>
        </w:rPr>
        <w:t xml:space="preserve"> </w:t>
      </w:r>
      <w:r w:rsidRPr="0069268F">
        <w:rPr>
          <w:rFonts w:ascii="Times New Roman" w:hAnsi="Times New Roman" w:cs="Times New Roman"/>
          <w:color w:val="323130"/>
          <w:sz w:val="24"/>
          <w:szCs w:val="24"/>
        </w:rPr>
        <w:t xml:space="preserve">to explain how our SDH model can be integrated into larger scale model of mitochondria metabolism. </w:t>
      </w:r>
    </w:p>
    <w:p w14:paraId="2C09DE63" w14:textId="630D3C63" w:rsidR="00FB1F6D" w:rsidRPr="0069268F" w:rsidRDefault="00FB1F6D" w:rsidP="00FB1F6D">
      <w:pPr>
        <w:pStyle w:val="ListParagraph"/>
        <w:numPr>
          <w:ilvl w:val="2"/>
          <w:numId w:val="4"/>
        </w:numPr>
        <w:rPr>
          <w:rFonts w:ascii="Times New Roman" w:hAnsi="Times New Roman" w:cs="Times New Roman"/>
          <w:color w:val="323130"/>
          <w:sz w:val="24"/>
          <w:szCs w:val="24"/>
        </w:rPr>
      </w:pPr>
      <w:r>
        <w:rPr>
          <w:rFonts w:ascii="Times New Roman" w:hAnsi="Times New Roman" w:cs="Times New Roman"/>
          <w:color w:val="323130"/>
          <w:sz w:val="24"/>
          <w:szCs w:val="24"/>
        </w:rPr>
        <w:t>“”</w:t>
      </w:r>
    </w:p>
    <w:p w14:paraId="4AA80552" w14:textId="6994C0CB" w:rsidR="00841E6F" w:rsidRPr="0069268F" w:rsidRDefault="00841E6F" w:rsidP="0069268F">
      <w:pPr>
        <w:pStyle w:val="ListParagraph"/>
        <w:numPr>
          <w:ilvl w:val="0"/>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Cl</w:t>
      </w:r>
      <w:r w:rsidRPr="0069268F">
        <w:rPr>
          <w:rFonts w:ascii="Times New Roman" w:hAnsi="Times New Roman" w:cs="Times New Roman"/>
          <w:color w:val="323130"/>
          <w:sz w:val="24"/>
          <w:szCs w:val="24"/>
        </w:rPr>
        <w:t xml:space="preserve">early present errors/variability in measures and parameter values from different preparations of mitochondrial from the same conditions, species, sex, etc. It looks to me that you only performed the measurements (in guinea pig) from one experiment with an N=3. What is the variance from day to day and animal to animal, etc. </w:t>
      </w:r>
    </w:p>
    <w:p w14:paraId="0B2CA6B5" w14:textId="4733093E" w:rsidR="00841E6F" w:rsidRDefault="00841E6F" w:rsidP="0069268F">
      <w:pPr>
        <w:pStyle w:val="ListParagraph"/>
        <w:numPr>
          <w:ilvl w:val="1"/>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We have now included individual data points from our in-house experiments using guinea pig</w:t>
      </w:r>
      <w:r w:rsidR="00FB1F6D">
        <w:rPr>
          <w:rFonts w:ascii="Times New Roman" w:hAnsi="Times New Roman" w:cs="Times New Roman"/>
          <w:color w:val="323130"/>
          <w:sz w:val="24"/>
          <w:szCs w:val="24"/>
        </w:rPr>
        <w:t xml:space="preserve"> (</w:t>
      </w:r>
      <w:r w:rsidR="00306417">
        <w:rPr>
          <w:rFonts w:ascii="Times New Roman" w:hAnsi="Times New Roman" w:cs="Times New Roman"/>
          <w:color w:val="323130"/>
          <w:sz w:val="24"/>
          <w:szCs w:val="24"/>
        </w:rPr>
        <w:t>Fig. S2</w:t>
      </w:r>
      <w:r w:rsidR="00FB1F6D">
        <w:rPr>
          <w:rFonts w:ascii="Times New Roman" w:hAnsi="Times New Roman" w:cs="Times New Roman"/>
          <w:color w:val="323130"/>
          <w:sz w:val="24"/>
          <w:szCs w:val="24"/>
        </w:rPr>
        <w:t>)</w:t>
      </w:r>
      <w:r w:rsidRPr="0069268F">
        <w:rPr>
          <w:rFonts w:ascii="Times New Roman" w:hAnsi="Times New Roman" w:cs="Times New Roman"/>
          <w:color w:val="323130"/>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306417" w14:paraId="52C8EE6A" w14:textId="77777777" w:rsidTr="00306417">
        <w:tc>
          <w:tcPr>
            <w:tcW w:w="9350" w:type="dxa"/>
          </w:tcPr>
          <w:p w14:paraId="5692A4CB" w14:textId="4949A325" w:rsidR="00306417" w:rsidRDefault="00306417" w:rsidP="00306417">
            <w:pPr>
              <w:rPr>
                <w:rFonts w:ascii="Times New Roman" w:hAnsi="Times New Roman" w:cs="Times New Roman"/>
                <w:color w:val="323130"/>
                <w:sz w:val="24"/>
                <w:szCs w:val="24"/>
              </w:rPr>
            </w:pPr>
            <w:r w:rsidRPr="00306417">
              <w:rPr>
                <w:rFonts w:ascii="Times New Roman" w:hAnsi="Times New Roman" w:cs="Times New Roman"/>
                <w:noProof/>
                <w:color w:val="323130"/>
                <w:sz w:val="24"/>
                <w:szCs w:val="24"/>
              </w:rPr>
              <w:lastRenderedPageBreak/>
              <w:drawing>
                <wp:inline distT="0" distB="0" distL="0" distR="0" wp14:anchorId="63B45742" wp14:editId="2D32ABA9">
                  <wp:extent cx="5829300" cy="204274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36008" cy="2045097"/>
                          </a:xfrm>
                          <a:prstGeom prst="rect">
                            <a:avLst/>
                          </a:prstGeom>
                          <a:noFill/>
                          <a:ln>
                            <a:noFill/>
                          </a:ln>
                        </pic:spPr>
                      </pic:pic>
                    </a:graphicData>
                  </a:graphic>
                </wp:inline>
              </w:drawing>
            </w:r>
          </w:p>
        </w:tc>
      </w:tr>
      <w:tr w:rsidR="00306417" w14:paraId="238C1F41" w14:textId="77777777" w:rsidTr="00306417">
        <w:tc>
          <w:tcPr>
            <w:tcW w:w="9350" w:type="dxa"/>
          </w:tcPr>
          <w:p w14:paraId="016F3D37" w14:textId="7AA96D98" w:rsidR="00306417" w:rsidRPr="00306417" w:rsidRDefault="00306417" w:rsidP="00306417">
            <w:pPr>
              <w:rPr>
                <w:rFonts w:ascii="Times New Roman" w:hAnsi="Times New Roman" w:cs="Times New Roman"/>
                <w:color w:val="323130"/>
              </w:rPr>
            </w:pPr>
            <w:r w:rsidRPr="00306417">
              <w:rPr>
                <w:rFonts w:ascii="Times New Roman" w:hAnsi="Times New Roman" w:cs="Times New Roman"/>
                <w:b/>
                <w:bCs/>
                <w:color w:val="323130"/>
              </w:rPr>
              <w:t xml:space="preserve">Figure S2. Net hydrogen peroxide emission rates were measured in-house using mitochondria isolated from guinea pig cardiomyocytes. </w:t>
            </w:r>
            <w:r w:rsidRPr="00306417">
              <w:rPr>
                <w:rFonts w:ascii="Times New Roman" w:hAnsi="Times New Roman" w:cs="Times New Roman"/>
                <w:color w:val="323130"/>
              </w:rPr>
              <w:t xml:space="preserve">The net hydrogen peroxide emission rate was monitored using the Amplex UltraRed assay (excitation 560 nm, emission 590 nm). A) Succinate titration. Mitochondria were added to the reaction mixture containing </w:t>
            </w:r>
            <w:proofErr w:type="spellStart"/>
            <w:r w:rsidRPr="00306417">
              <w:rPr>
                <w:rFonts w:ascii="Times New Roman" w:hAnsi="Times New Roman" w:cs="Times New Roman"/>
                <w:color w:val="323130"/>
              </w:rPr>
              <w:t>myxothiazol</w:t>
            </w:r>
            <w:proofErr w:type="spellEnd"/>
            <w:r w:rsidRPr="00306417">
              <w:rPr>
                <w:rFonts w:ascii="Times New Roman" w:hAnsi="Times New Roman" w:cs="Times New Roman"/>
                <w:color w:val="323130"/>
              </w:rPr>
              <w:t xml:space="preserve"> and rotenone. After 2 minutes of stabilization, succinate was added to the final concentrations of 50, 100, 200, 300, 500, 1000, 3000 or 5000 µM. B) Decylubiquinol (DQH</w:t>
            </w:r>
            <w:r w:rsidRPr="00306417">
              <w:rPr>
                <w:rFonts w:ascii="Times New Roman" w:hAnsi="Times New Roman" w:cs="Times New Roman"/>
                <w:color w:val="323130"/>
                <w:vertAlign w:val="subscript"/>
              </w:rPr>
              <w:t>2</w:t>
            </w:r>
            <w:r w:rsidRPr="00306417">
              <w:rPr>
                <w:rFonts w:ascii="Times New Roman" w:hAnsi="Times New Roman" w:cs="Times New Roman"/>
                <w:color w:val="323130"/>
              </w:rPr>
              <w:t>) titration was obtained at 200 µM and 5 mM succinate concentrations. The initial stage of the experiment is similar to the succinate titration. After 10 minutes following succinate addition, DQH</w:t>
            </w:r>
            <w:r w:rsidRPr="00306417">
              <w:rPr>
                <w:rFonts w:ascii="Times New Roman" w:hAnsi="Times New Roman" w:cs="Times New Roman"/>
                <w:color w:val="323130"/>
                <w:vertAlign w:val="subscript"/>
              </w:rPr>
              <w:t>2</w:t>
            </w:r>
            <w:r w:rsidRPr="00306417">
              <w:rPr>
                <w:rFonts w:ascii="Times New Roman" w:hAnsi="Times New Roman" w:cs="Times New Roman"/>
                <w:color w:val="323130"/>
              </w:rPr>
              <w:t xml:space="preserve"> was added to the final concentrations of 12.5, 25, 50, 75, 100, 150 or 200 µM. In all experiments, the final concentrations are 10 µM Amplex UltraRed, 1 U/mL HrP, 10 U/mL SOD, 4 µM rotenone, 2 µM </w:t>
            </w:r>
            <w:proofErr w:type="spellStart"/>
            <w:r w:rsidRPr="00306417">
              <w:rPr>
                <w:rFonts w:ascii="Times New Roman" w:hAnsi="Times New Roman" w:cs="Times New Roman"/>
                <w:color w:val="323130"/>
              </w:rPr>
              <w:t>myxothiazol</w:t>
            </w:r>
            <w:proofErr w:type="spellEnd"/>
            <w:r w:rsidRPr="00306417">
              <w:rPr>
                <w:rFonts w:ascii="Times New Roman" w:hAnsi="Times New Roman" w:cs="Times New Roman"/>
                <w:color w:val="323130"/>
              </w:rPr>
              <w:t xml:space="preserve"> and 0.1 mg/mL mitochondria. At least 3 replicates were performed at each succinate or DQH</w:t>
            </w:r>
            <w:r w:rsidRPr="00306417">
              <w:rPr>
                <w:rFonts w:ascii="Times New Roman" w:hAnsi="Times New Roman" w:cs="Times New Roman"/>
                <w:color w:val="323130"/>
                <w:vertAlign w:val="subscript"/>
              </w:rPr>
              <w:t>2</w:t>
            </w:r>
            <w:r w:rsidRPr="00306417">
              <w:rPr>
                <w:rFonts w:ascii="Times New Roman" w:hAnsi="Times New Roman" w:cs="Times New Roman"/>
                <w:color w:val="323130"/>
              </w:rPr>
              <w:t xml:space="preserve"> concentration.  </w:t>
            </w:r>
          </w:p>
        </w:tc>
      </w:tr>
    </w:tbl>
    <w:p w14:paraId="25FEE8A0" w14:textId="31FC3CB6" w:rsidR="00841E6F" w:rsidRPr="00306417" w:rsidRDefault="00841E6F" w:rsidP="00306417">
      <w:pPr>
        <w:pStyle w:val="ListParagraph"/>
        <w:numPr>
          <w:ilvl w:val="0"/>
          <w:numId w:val="5"/>
        </w:numPr>
        <w:spacing w:before="120"/>
        <w:rPr>
          <w:rFonts w:ascii="Times New Roman" w:hAnsi="Times New Roman" w:cs="Times New Roman"/>
          <w:color w:val="323130"/>
          <w:sz w:val="24"/>
          <w:szCs w:val="24"/>
        </w:rPr>
      </w:pPr>
      <w:r w:rsidRPr="00306417">
        <w:rPr>
          <w:rFonts w:ascii="Times New Roman" w:hAnsi="Times New Roman" w:cs="Times New Roman"/>
          <w:color w:val="323130"/>
          <w:sz w:val="24"/>
          <w:szCs w:val="24"/>
        </w:rPr>
        <w:t xml:space="preserve">To help the reader navigate through </w:t>
      </w:r>
      <w:r w:rsidR="0069268F" w:rsidRPr="00306417">
        <w:rPr>
          <w:rFonts w:ascii="Times New Roman" w:hAnsi="Times New Roman" w:cs="Times New Roman"/>
          <w:color w:val="323130"/>
          <w:sz w:val="24"/>
          <w:szCs w:val="24"/>
        </w:rPr>
        <w:t xml:space="preserve">the different data sets used by different groups, we included experimental details from these studies in the figure legends as much as distilled from the original studies. Due to the large number of data points from all of the studies combined, the audience is referred to the studies for individual data points. </w:t>
      </w:r>
    </w:p>
    <w:p w14:paraId="2AE0E6D8" w14:textId="2102B14B" w:rsidR="00841E6F" w:rsidRPr="0069268F" w:rsidRDefault="00841E6F" w:rsidP="0069268F">
      <w:pPr>
        <w:pStyle w:val="ListParagraph"/>
        <w:numPr>
          <w:ilvl w:val="0"/>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And lastly (point #3.), the paper in some places still reads like it is written for very specialized audience, so additional edits are needed.</w:t>
      </w:r>
    </w:p>
    <w:p w14:paraId="1104ADF6" w14:textId="77777777" w:rsidR="00841E6F" w:rsidRPr="0069268F" w:rsidRDefault="00841E6F" w:rsidP="0069268F">
      <w:pPr>
        <w:pStyle w:val="ListParagraph"/>
        <w:numPr>
          <w:ilvl w:val="1"/>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 xml:space="preserve">We acknowledge that the technical aspect of the paper may not be familiar to everyone in the audience. However, the biochemistry on which the model is grounded is fundamental and of broad interest to the audience. </w:t>
      </w:r>
    </w:p>
    <w:p w14:paraId="7A6C6F89" w14:textId="04D9C9F5" w:rsidR="0069268F" w:rsidRDefault="00841E6F" w:rsidP="0069268F">
      <w:pPr>
        <w:pStyle w:val="ListParagraph"/>
        <w:numPr>
          <w:ilvl w:val="1"/>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Faced with the challenge of balancing the technicality and content of the paper, we did our best to simplify the technicality of our modeling approach into a single paragraph (Results section, paragraph 1) in the previous</w:t>
      </w:r>
      <w:r w:rsidR="0069268F">
        <w:rPr>
          <w:rFonts w:ascii="Times New Roman" w:hAnsi="Times New Roman" w:cs="Times New Roman"/>
          <w:color w:val="323130"/>
          <w:sz w:val="24"/>
          <w:szCs w:val="24"/>
        </w:rPr>
        <w:t xml:space="preserve"> round of revision.</w:t>
      </w:r>
      <w:r w:rsidRPr="0069268F">
        <w:rPr>
          <w:rFonts w:ascii="Times New Roman" w:hAnsi="Times New Roman" w:cs="Times New Roman"/>
          <w:color w:val="323130"/>
          <w:sz w:val="24"/>
          <w:szCs w:val="24"/>
        </w:rPr>
        <w:t xml:space="preserve"> </w:t>
      </w:r>
    </w:p>
    <w:p w14:paraId="0E6EA1F4" w14:textId="77777777" w:rsidR="0069268F" w:rsidRDefault="0069268F" w:rsidP="0069268F">
      <w:pPr>
        <w:pStyle w:val="ListParagraph"/>
        <w:numPr>
          <w:ilvl w:val="1"/>
          <w:numId w:val="4"/>
        </w:numPr>
        <w:rPr>
          <w:rFonts w:ascii="Times New Roman" w:hAnsi="Times New Roman" w:cs="Times New Roman"/>
          <w:color w:val="323130"/>
          <w:sz w:val="24"/>
          <w:szCs w:val="24"/>
        </w:rPr>
      </w:pPr>
      <w:r>
        <w:rPr>
          <w:rFonts w:ascii="Times New Roman" w:hAnsi="Times New Roman" w:cs="Times New Roman"/>
          <w:color w:val="323130"/>
          <w:sz w:val="24"/>
          <w:szCs w:val="24"/>
        </w:rPr>
        <w:t>Nevertheless, w</w:t>
      </w:r>
      <w:r w:rsidR="00841E6F" w:rsidRPr="0069268F">
        <w:rPr>
          <w:rFonts w:ascii="Times New Roman" w:hAnsi="Times New Roman" w:cs="Times New Roman"/>
          <w:color w:val="323130"/>
          <w:sz w:val="24"/>
          <w:szCs w:val="24"/>
        </w:rPr>
        <w:t>e have included an additional figure (new Fig. S1) that pictographically explains how our dynamic modeling process works. Text is included at the end of the second paragraph of the Results section to refer the audience to this new figure.</w:t>
      </w:r>
    </w:p>
    <w:p w14:paraId="19D92DF3" w14:textId="77777777" w:rsidR="0069268F" w:rsidRPr="0069268F" w:rsidRDefault="00841E6F" w:rsidP="0069268F">
      <w:pPr>
        <w:pStyle w:val="ListParagraph"/>
        <w:numPr>
          <w:ilvl w:val="2"/>
          <w:numId w:val="4"/>
        </w:numPr>
        <w:rPr>
          <w:rFonts w:ascii="Times New Roman" w:hAnsi="Times New Roman" w:cs="Times New Roman"/>
          <w:color w:val="323130"/>
          <w:sz w:val="24"/>
          <w:szCs w:val="24"/>
        </w:rPr>
      </w:pPr>
      <w:r w:rsidRPr="0069268F">
        <w:rPr>
          <w:rFonts w:ascii="Times New Roman" w:hAnsi="Times New Roman" w:cs="Times New Roman"/>
          <w:color w:val="323130"/>
          <w:sz w:val="24"/>
          <w:szCs w:val="24"/>
        </w:rPr>
        <w:t>Text: “</w:t>
      </w:r>
      <w:r w:rsidRPr="0069268F">
        <w:rPr>
          <w:rFonts w:ascii="Times New Roman" w:hAnsi="Times New Roman" w:cs="Times New Roman"/>
          <w:sz w:val="24"/>
          <w:szCs w:val="24"/>
        </w:rPr>
        <w:t>This dynamic modeling approach is summarized in Fig. S1.</w:t>
      </w:r>
      <w:r w:rsidR="0069268F">
        <w:rPr>
          <w:rFonts w:ascii="Times New Roman" w:hAnsi="Times New Roman" w:cs="Times New Roman"/>
          <w:sz w:val="24"/>
          <w:szCs w:val="24"/>
        </w:rPr>
        <w:t>”</w:t>
      </w:r>
    </w:p>
    <w:p w14:paraId="7F833AA8" w14:textId="7FF29F60" w:rsidR="00841E6F" w:rsidRPr="0069268F" w:rsidRDefault="00841E6F" w:rsidP="0069268F">
      <w:pPr>
        <w:pStyle w:val="ListParagraph"/>
        <w:numPr>
          <w:ilvl w:val="2"/>
          <w:numId w:val="4"/>
        </w:numPr>
        <w:rPr>
          <w:rFonts w:ascii="Times New Roman" w:hAnsi="Times New Roman" w:cs="Times New Roman"/>
          <w:color w:val="323130"/>
          <w:sz w:val="24"/>
          <w:szCs w:val="24"/>
        </w:rPr>
      </w:pPr>
      <w:r w:rsidRPr="0069268F">
        <w:rPr>
          <w:rFonts w:ascii="Times New Roman" w:hAnsi="Times New Roman" w:cs="Times New Roman"/>
          <w:sz w:val="24"/>
          <w:szCs w:val="24"/>
        </w:rPr>
        <w:t>Figure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37D65" w14:paraId="0BBC4BBE" w14:textId="77777777" w:rsidTr="00F37D65">
        <w:tc>
          <w:tcPr>
            <w:tcW w:w="9350" w:type="dxa"/>
          </w:tcPr>
          <w:p w14:paraId="59BEE74D" w14:textId="3FF6F10B" w:rsidR="00F37D65" w:rsidRDefault="00F37D65" w:rsidP="00841E6F">
            <w:pPr>
              <w:rPr>
                <w:rFonts w:ascii="Times New Roman" w:hAnsi="Times New Roman" w:cs="Times New Roman"/>
                <w:color w:val="323130"/>
                <w:sz w:val="24"/>
                <w:szCs w:val="24"/>
              </w:rPr>
            </w:pPr>
            <w:r w:rsidRPr="00F37D65">
              <w:rPr>
                <w:rFonts w:ascii="Times New Roman" w:hAnsi="Times New Roman" w:cs="Times New Roman"/>
                <w:noProof/>
                <w:color w:val="323130"/>
                <w:sz w:val="24"/>
                <w:szCs w:val="24"/>
              </w:rPr>
              <w:lastRenderedPageBreak/>
              <w:drawing>
                <wp:inline distT="0" distB="0" distL="0" distR="0" wp14:anchorId="3C38AE50" wp14:editId="37101683">
                  <wp:extent cx="5781675" cy="265920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88366" cy="2662278"/>
                          </a:xfrm>
                          <a:prstGeom prst="rect">
                            <a:avLst/>
                          </a:prstGeom>
                          <a:noFill/>
                          <a:ln>
                            <a:noFill/>
                          </a:ln>
                        </pic:spPr>
                      </pic:pic>
                    </a:graphicData>
                  </a:graphic>
                </wp:inline>
              </w:drawing>
            </w:r>
          </w:p>
        </w:tc>
      </w:tr>
      <w:tr w:rsidR="00F37D65" w14:paraId="46C708AB" w14:textId="77777777" w:rsidTr="00F37D65">
        <w:tc>
          <w:tcPr>
            <w:tcW w:w="9350" w:type="dxa"/>
          </w:tcPr>
          <w:p w14:paraId="51B27889" w14:textId="11B45458" w:rsidR="00F37D65" w:rsidRDefault="00F37D65" w:rsidP="00841E6F">
            <w:pPr>
              <w:rPr>
                <w:rFonts w:ascii="Times New Roman" w:hAnsi="Times New Roman" w:cs="Times New Roman"/>
                <w:color w:val="323130"/>
                <w:sz w:val="24"/>
                <w:szCs w:val="24"/>
              </w:rPr>
            </w:pPr>
            <w:r w:rsidRPr="00F37D65">
              <w:rPr>
                <w:rFonts w:ascii="Times New Roman" w:hAnsi="Times New Roman" w:cs="Times New Roman"/>
                <w:b/>
                <w:bCs/>
                <w:color w:val="323130"/>
                <w:sz w:val="24"/>
                <w:szCs w:val="24"/>
              </w:rPr>
              <w:t xml:space="preserve">Figure S1. Methodology overview. </w:t>
            </w:r>
            <w:r w:rsidRPr="00F37D65">
              <w:rPr>
                <w:rFonts w:ascii="Times New Roman" w:hAnsi="Times New Roman" w:cs="Times New Roman"/>
                <w:color w:val="323130"/>
                <w:sz w:val="24"/>
                <w:szCs w:val="24"/>
              </w:rPr>
              <w:t>The general modeling approach involves a dynamic three-staged process of model construction, calibration and validation. In the initial construction stage (blue), a rudimentary model emerges from structural, thermodynamic and kinetic data. In the corroboration stage (orange), outputs of the rudimentary model are compared to experimental data. The model details, as well as the model parameters, are adjusted until the model outputs are consistent with experimental data. At this point, the model is revised, and the associated parameter set is described as “optimized.” During the final stage of model validation (yellow), the model outputs are compared to experimental data that were not used in the calibration stage. The revised model is considered refined if its outputs are consistent with experimental data. Otherwise, the model is sent back to the c</w:t>
            </w:r>
            <w:r w:rsidR="00FB1F6D">
              <w:rPr>
                <w:rFonts w:ascii="Times New Roman" w:hAnsi="Times New Roman" w:cs="Times New Roman"/>
                <w:color w:val="323130"/>
                <w:sz w:val="24"/>
                <w:szCs w:val="24"/>
              </w:rPr>
              <w:t>alibration</w:t>
            </w:r>
            <w:r w:rsidRPr="00F37D65">
              <w:rPr>
                <w:rFonts w:ascii="Times New Roman" w:hAnsi="Times New Roman" w:cs="Times New Roman"/>
                <w:color w:val="323130"/>
                <w:sz w:val="24"/>
                <w:szCs w:val="24"/>
              </w:rPr>
              <w:t xml:space="preserve"> stage. </w:t>
            </w:r>
          </w:p>
        </w:tc>
      </w:tr>
    </w:tbl>
    <w:p w14:paraId="406F1668" w14:textId="77777777" w:rsidR="00841E6F" w:rsidRPr="0069268F" w:rsidRDefault="00841E6F" w:rsidP="00841E6F">
      <w:pPr>
        <w:rPr>
          <w:rFonts w:ascii="Times New Roman" w:hAnsi="Times New Roman" w:cs="Times New Roman"/>
          <w:color w:val="323130"/>
          <w:sz w:val="24"/>
          <w:szCs w:val="24"/>
        </w:rPr>
      </w:pPr>
    </w:p>
    <w:p w14:paraId="3D3DA2D6" w14:textId="77777777" w:rsidR="00841E6F" w:rsidRDefault="00841E6F" w:rsidP="00841E6F">
      <w:pPr>
        <w:rPr>
          <w:rFonts w:ascii="Times New Roman" w:hAnsi="Times New Roman" w:cs="Times New Roman"/>
          <w:b/>
          <w:bCs/>
          <w:color w:val="323130"/>
          <w:sz w:val="24"/>
          <w:szCs w:val="24"/>
        </w:rPr>
      </w:pPr>
    </w:p>
    <w:p w14:paraId="1834EBE2" w14:textId="77777777" w:rsidR="00841E6F" w:rsidRPr="00C01D57" w:rsidRDefault="00841E6F" w:rsidP="00C01D57">
      <w:pPr>
        <w:rPr>
          <w:rFonts w:ascii="Times New Roman" w:hAnsi="Times New Roman" w:cs="Times New Roman"/>
          <w:sz w:val="24"/>
          <w:szCs w:val="24"/>
        </w:rPr>
      </w:pPr>
    </w:p>
    <w:sectPr w:rsidR="00841E6F" w:rsidRPr="00C01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2488F"/>
    <w:multiLevelType w:val="hybridMultilevel"/>
    <w:tmpl w:val="B30C83B4"/>
    <w:lvl w:ilvl="0" w:tplc="A0E4C63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C2681D"/>
    <w:multiLevelType w:val="hybridMultilevel"/>
    <w:tmpl w:val="66E4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D17D1D"/>
    <w:multiLevelType w:val="hybridMultilevel"/>
    <w:tmpl w:val="9C863084"/>
    <w:lvl w:ilvl="0" w:tplc="A0E4C6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8C7F3A"/>
    <w:multiLevelType w:val="hybridMultilevel"/>
    <w:tmpl w:val="A68A7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555B41"/>
    <w:multiLevelType w:val="hybridMultilevel"/>
    <w:tmpl w:val="58A0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6F3"/>
    <w:rsid w:val="000232EB"/>
    <w:rsid w:val="002807C3"/>
    <w:rsid w:val="00306417"/>
    <w:rsid w:val="00315B3D"/>
    <w:rsid w:val="003C40BF"/>
    <w:rsid w:val="0043060D"/>
    <w:rsid w:val="00497A68"/>
    <w:rsid w:val="0069268F"/>
    <w:rsid w:val="006A16A2"/>
    <w:rsid w:val="007235B5"/>
    <w:rsid w:val="00841E6F"/>
    <w:rsid w:val="008E2BBE"/>
    <w:rsid w:val="00C01D57"/>
    <w:rsid w:val="00EA0E23"/>
    <w:rsid w:val="00F176F3"/>
    <w:rsid w:val="00F37D65"/>
    <w:rsid w:val="00FB1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282A4"/>
  <w15:chartTrackingRefBased/>
  <w15:docId w15:val="{07A8AD1A-831D-467F-83CB-6ED37F14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32EB"/>
    <w:pPr>
      <w:ind w:left="720"/>
      <w:contextualSpacing/>
    </w:pPr>
  </w:style>
  <w:style w:type="table" w:styleId="TableGrid">
    <w:name w:val="Table Grid"/>
    <w:basedOn w:val="TableNormal"/>
    <w:uiPriority w:val="39"/>
    <w:rsid w:val="00F37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65438">
      <w:bodyDiv w:val="1"/>
      <w:marLeft w:val="0"/>
      <w:marRight w:val="0"/>
      <w:marTop w:val="0"/>
      <w:marBottom w:val="0"/>
      <w:divBdr>
        <w:top w:val="none" w:sz="0" w:space="0" w:color="auto"/>
        <w:left w:val="none" w:sz="0" w:space="0" w:color="auto"/>
        <w:bottom w:val="none" w:sz="0" w:space="0" w:color="auto"/>
        <w:right w:val="none" w:sz="0" w:space="0" w:color="auto"/>
      </w:divBdr>
    </w:div>
    <w:div w:id="128261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1678</Words>
  <Characters>9566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Duong, Quynh</dc:creator>
  <cp:keywords/>
  <dc:description/>
  <cp:lastModifiedBy>Duong, Quynh</cp:lastModifiedBy>
  <cp:revision>4</cp:revision>
  <dcterms:created xsi:type="dcterms:W3CDTF">2020-08-10T15:10:00Z</dcterms:created>
  <dcterms:modified xsi:type="dcterms:W3CDTF">2020-08-10T19:47:00Z</dcterms:modified>
</cp:coreProperties>
</file>